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3A93" w14:textId="77777777" w:rsidR="00A4199D" w:rsidRDefault="000B6150">
      <w:pPr>
        <w:pStyle w:val="Heading2"/>
        <w:rPr>
          <w:rFonts w:ascii="Calibri" w:hAnsi="Calibri"/>
          <w:i w:val="0"/>
        </w:rPr>
      </w:pPr>
      <w:r>
        <w:rPr>
          <w:rFonts w:ascii="Calibri" w:hAnsi="Calibri"/>
          <w:i w:val="0"/>
        </w:rPr>
        <w:t>CR-05 - Goals and Outcomes</w:t>
      </w:r>
    </w:p>
    <w:p w14:paraId="4609F869" w14:textId="77777777" w:rsidR="00A4199D" w:rsidRDefault="000B6150">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14:paraId="078BBA47" w14:textId="77777777" w:rsidR="00A4199D" w:rsidRDefault="000B6150">
      <w:pPr>
        <w:keepNext/>
        <w:widowControl w:val="0"/>
        <w:spacing w:after="0" w:line="240" w:lineRule="auto"/>
      </w:pPr>
      <w:r>
        <w:t xml:space="preserve">This could be an overview that includes major initiatives and highlights that were proposed and executed throughout the </w:t>
      </w:r>
      <w:r>
        <w:t>program year.</w:t>
      </w:r>
    </w:p>
    <w:p w14:paraId="1675D903" w14:textId="77777777" w:rsidR="00A4199D" w:rsidRDefault="00A4199D">
      <w:pPr>
        <w:keepNext/>
        <w:widowControl w:val="0"/>
        <w:spacing w:after="0" w:line="240" w:lineRule="auto"/>
        <w:rPr>
          <w:b/>
        </w:rPr>
      </w:pPr>
    </w:p>
    <w:p w14:paraId="421309CD" w14:textId="77777777" w:rsidR="00A4199D" w:rsidRDefault="000B6150">
      <w:pPr>
        <w:widowControl w:val="0"/>
        <w:spacing w:beforeAutospacing="1" w:afterAutospacing="1"/>
        <w:rPr>
          <w:szCs w:val="24"/>
        </w:rPr>
      </w:pPr>
      <w:r>
        <w:t xml:space="preserve">The 2023 Program Year saw HOME funds used to support vulnerable and very low-income households in its Tenant Based Rental Assistance (TBRA) program, the lease up of 70 units at the new permanent supportive housing </w:t>
      </w:r>
      <w:proofErr w:type="gramStart"/>
      <w:r>
        <w:t>project  and</w:t>
      </w:r>
      <w:proofErr w:type="gramEnd"/>
      <w:r>
        <w:t xml:space="preserve"> 5 new low-income households become first time home owners.  Homeowner assistance funds were awarded to 2 households for downpayment assistance.</w:t>
      </w:r>
    </w:p>
    <w:p w14:paraId="6F6BE2C6" w14:textId="77777777" w:rsidR="00A4199D" w:rsidRDefault="000B6150">
      <w:pPr>
        <w:widowControl w:val="0"/>
        <w:spacing w:beforeAutospacing="1" w:afterAutospacing="1"/>
        <w:rPr>
          <w:szCs w:val="24"/>
        </w:rPr>
      </w:pPr>
      <w:r>
        <w:t xml:space="preserve">Increase Affordable Housing Supply: The Consortium prioritized funding to affordable housing development during Program Year 2023. Preliminary awards were granted </w:t>
      </w:r>
      <w:proofErr w:type="gramStart"/>
      <w:r>
        <w:t>to</w:t>
      </w:r>
      <w:proofErr w:type="gramEnd"/>
      <w:r>
        <w:t xml:space="preserve"> 2 affordable housing development rental projects:</w:t>
      </w:r>
    </w:p>
    <w:p w14:paraId="18E7B5F3" w14:textId="77777777" w:rsidR="00A4199D" w:rsidRDefault="000B6150">
      <w:pPr>
        <w:widowControl w:val="0"/>
        <w:numPr>
          <w:ilvl w:val="0"/>
          <w:numId w:val="3"/>
        </w:numPr>
        <w:spacing w:beforeAutospacing="1" w:afterAutospacing="1"/>
        <w:rPr>
          <w:szCs w:val="24"/>
        </w:rPr>
      </w:pPr>
      <w:r>
        <w:t>Generations Place, Island Roots Housing: $150,174 CHDO Development and $75,668 General Development</w:t>
      </w:r>
    </w:p>
    <w:p w14:paraId="0C3BF409" w14:textId="77777777" w:rsidR="00A4199D" w:rsidRDefault="000B6150">
      <w:pPr>
        <w:widowControl w:val="0"/>
        <w:numPr>
          <w:ilvl w:val="0"/>
          <w:numId w:val="3"/>
        </w:numPr>
        <w:spacing w:beforeAutospacing="1" w:afterAutospacing="1"/>
        <w:rPr>
          <w:szCs w:val="24"/>
        </w:rPr>
      </w:pPr>
      <w:r>
        <w:t>VOA North: $500,000</w:t>
      </w:r>
    </w:p>
    <w:p w14:paraId="730DBF0E" w14:textId="77777777" w:rsidR="00A4199D" w:rsidRDefault="000B6150">
      <w:pPr>
        <w:widowControl w:val="0"/>
        <w:spacing w:beforeAutospacing="1" w:afterAutospacing="1"/>
        <w:rPr>
          <w:szCs w:val="24"/>
        </w:rPr>
      </w:pPr>
      <w:r>
        <w:t xml:space="preserve">Homelessness: Across the Consortium area, TBRA caseloads and spending increased in PY 2023 as expected but enrollments in TBRA are still lower than the actual annual goal due mostly in part to households remaining enrolled for longer periods and increased costs of housing.  There continues to be a high need throughout the Consortium area for financial support for households experiencing </w:t>
      </w:r>
      <w:proofErr w:type="gramStart"/>
      <w:r>
        <w:t>homeless</w:t>
      </w:r>
      <w:proofErr w:type="gramEnd"/>
      <w:r>
        <w:t xml:space="preserve"> or at risk of homelessness. Recent Point in Time Counts show a drastic increase in the number of people experiencing homelessness across the Consortium regions. The rate of homelessness is not keeping up with the available resources, available housing units, and available caseloads for programs to meet the need.</w:t>
      </w:r>
    </w:p>
    <w:p w14:paraId="7167685B" w14:textId="77777777" w:rsidR="00A4199D" w:rsidRDefault="000B6150">
      <w:pPr>
        <w:widowControl w:val="0"/>
        <w:spacing w:beforeAutospacing="1" w:afterAutospacing="1"/>
        <w:rPr>
          <w:szCs w:val="24"/>
        </w:rPr>
      </w:pPr>
      <w:r>
        <w:t xml:space="preserve">Lack of available and affordable rental housing continues to become more pronounced throughout the Consortium area, and there continues to be a need for rental assistance resources for various levels of income.  Eviction prevention funding was </w:t>
      </w:r>
      <w:proofErr w:type="gramStart"/>
      <w:r>
        <w:t>cut</w:t>
      </w:r>
      <w:proofErr w:type="gramEnd"/>
      <w:r>
        <w:t xml:space="preserve"> and many temporary programs have since </w:t>
      </w:r>
      <w:proofErr w:type="spellStart"/>
      <w:r>
        <w:t>sunsetted</w:t>
      </w:r>
      <w:proofErr w:type="spellEnd"/>
      <w:r>
        <w:t xml:space="preserve"> leaving a gap in services.  Shelter programs and rental assistance programs such as TBRA are keeping households enrolled longer than usual and rates of exiting shelter to permanent housing are low which causes </w:t>
      </w:r>
      <w:proofErr w:type="gramStart"/>
      <w:r>
        <w:t>less</w:t>
      </w:r>
      <w:proofErr w:type="gramEnd"/>
      <w:r>
        <w:t xml:space="preserve"> total households to be served than expected.  More funding is needed per household in TBRA programs due to increases in rental prices and higher move in costs. Vacancy rates are improving but still low, inflation is rising, and rents continue t</w:t>
      </w:r>
      <w:r>
        <w:t>o increase in all three counties.  </w:t>
      </w:r>
    </w:p>
    <w:p w14:paraId="271B5708" w14:textId="77777777" w:rsidR="00A4199D" w:rsidRDefault="000B6150">
      <w:pPr>
        <w:keepNext/>
        <w:widowControl w:val="0"/>
        <w:spacing w:after="0" w:line="240" w:lineRule="auto"/>
        <w:rPr>
          <w:b/>
          <w:sz w:val="24"/>
          <w:szCs w:val="24"/>
        </w:rPr>
      </w:pPr>
      <w:r>
        <w:rPr>
          <w:b/>
          <w:sz w:val="24"/>
          <w:szCs w:val="24"/>
        </w:rPr>
        <w:lastRenderedPageBreak/>
        <w:t>Comparison of the proposed versus actual outcomes for each outcome measure submitted with the consolidated plan and explain, if applicable, why progress was not made toward meeting goals and objectives.  91.520(g)</w:t>
      </w:r>
    </w:p>
    <w:p w14:paraId="5EE69E01" w14:textId="77777777" w:rsidR="00A4199D" w:rsidRDefault="000B6150">
      <w:pPr>
        <w:keepNext/>
        <w:widowControl w:val="0"/>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14:paraId="50486CDF" w14:textId="77777777" w:rsidR="00A4199D" w:rsidRDefault="00A4199D">
      <w:pPr>
        <w:widowControl w:val="0"/>
        <w:rPr>
          <w:b/>
          <w:sz w:val="24"/>
          <w:szCs w:val="24"/>
        </w:rPr>
      </w:pPr>
    </w:p>
    <w:tbl>
      <w:tblPr>
        <w:tblStyle w:val="TableGrid"/>
        <w:tblW w:w="13728" w:type="dxa"/>
        <w:tblInd w:w="0" w:type="dxa"/>
        <w:tblLook w:val="04A0" w:firstRow="1" w:lastRow="0" w:firstColumn="1" w:lastColumn="0" w:noHBand="0" w:noVBand="1"/>
      </w:tblPr>
      <w:tblGrid>
        <w:gridCol w:w="1734"/>
        <w:gridCol w:w="1352"/>
        <w:gridCol w:w="1486"/>
        <w:gridCol w:w="1704"/>
        <w:gridCol w:w="1390"/>
        <w:gridCol w:w="1006"/>
        <w:gridCol w:w="982"/>
        <w:gridCol w:w="1048"/>
        <w:gridCol w:w="1006"/>
        <w:gridCol w:w="965"/>
        <w:gridCol w:w="1055"/>
      </w:tblGrid>
      <w:tr w:rsidR="00A4199D" w14:paraId="33744731" w14:textId="77777777">
        <w:tc>
          <w:tcPr>
            <w:tcW w:w="1248" w:type="dxa"/>
          </w:tcPr>
          <w:p w14:paraId="05857F0E" w14:textId="77777777" w:rsidR="00A4199D" w:rsidRDefault="000B6150">
            <w:pPr>
              <w:keepNext/>
              <w:widowControl w:val="0"/>
              <w:spacing w:after="0" w:line="240" w:lineRule="auto"/>
              <w:rPr>
                <w:b/>
              </w:rPr>
            </w:pPr>
            <w:r>
              <w:rPr>
                <w:b/>
              </w:rPr>
              <w:t>Goal</w:t>
            </w:r>
          </w:p>
        </w:tc>
        <w:tc>
          <w:tcPr>
            <w:tcW w:w="1248" w:type="dxa"/>
          </w:tcPr>
          <w:p w14:paraId="6D67FFF8" w14:textId="77777777" w:rsidR="00A4199D" w:rsidRDefault="000B6150">
            <w:pPr>
              <w:keepNext/>
              <w:widowControl w:val="0"/>
              <w:spacing w:after="0" w:line="240" w:lineRule="auto"/>
              <w:rPr>
                <w:b/>
              </w:rPr>
            </w:pPr>
            <w:r>
              <w:rPr>
                <w:b/>
              </w:rPr>
              <w:t>Category</w:t>
            </w:r>
          </w:p>
        </w:tc>
        <w:tc>
          <w:tcPr>
            <w:tcW w:w="1248" w:type="dxa"/>
          </w:tcPr>
          <w:p w14:paraId="49D3BCA9" w14:textId="77777777" w:rsidR="00A4199D" w:rsidRDefault="000B6150">
            <w:pPr>
              <w:keepNext/>
              <w:widowControl w:val="0"/>
              <w:spacing w:after="0" w:line="240" w:lineRule="auto"/>
              <w:rPr>
                <w:b/>
              </w:rPr>
            </w:pPr>
            <w:r>
              <w:rPr>
                <w:b/>
              </w:rPr>
              <w:t>Source / Amount</w:t>
            </w:r>
          </w:p>
        </w:tc>
        <w:tc>
          <w:tcPr>
            <w:tcW w:w="1248" w:type="dxa"/>
          </w:tcPr>
          <w:p w14:paraId="5AF98B11" w14:textId="77777777" w:rsidR="00A4199D" w:rsidRDefault="000B6150">
            <w:pPr>
              <w:keepNext/>
              <w:widowControl w:val="0"/>
              <w:spacing w:after="0" w:line="240" w:lineRule="auto"/>
              <w:rPr>
                <w:b/>
              </w:rPr>
            </w:pPr>
            <w:r>
              <w:rPr>
                <w:b/>
              </w:rPr>
              <w:t>Indicator</w:t>
            </w:r>
          </w:p>
        </w:tc>
        <w:tc>
          <w:tcPr>
            <w:tcW w:w="1248" w:type="dxa"/>
          </w:tcPr>
          <w:p w14:paraId="3258E5B1" w14:textId="77777777" w:rsidR="00A4199D" w:rsidRDefault="000B6150">
            <w:pPr>
              <w:keepNext/>
              <w:widowControl w:val="0"/>
              <w:spacing w:after="0" w:line="240" w:lineRule="auto"/>
              <w:rPr>
                <w:b/>
              </w:rPr>
            </w:pPr>
            <w:r>
              <w:rPr>
                <w:b/>
              </w:rPr>
              <w:t>Unit of Measure</w:t>
            </w:r>
          </w:p>
        </w:tc>
        <w:tc>
          <w:tcPr>
            <w:tcW w:w="1248" w:type="dxa"/>
          </w:tcPr>
          <w:p w14:paraId="17707AF7" w14:textId="77777777" w:rsidR="00A4199D" w:rsidRDefault="000B6150">
            <w:pPr>
              <w:keepNext/>
              <w:widowControl w:val="0"/>
              <w:spacing w:after="0" w:line="240" w:lineRule="auto"/>
              <w:rPr>
                <w:b/>
              </w:rPr>
            </w:pPr>
            <w:r>
              <w:rPr>
                <w:b/>
              </w:rPr>
              <w:t>Expected – Strategic Plan</w:t>
            </w:r>
          </w:p>
        </w:tc>
        <w:tc>
          <w:tcPr>
            <w:tcW w:w="1248" w:type="dxa"/>
          </w:tcPr>
          <w:p w14:paraId="512A0A08" w14:textId="77777777" w:rsidR="00A4199D" w:rsidRDefault="000B6150">
            <w:pPr>
              <w:keepNext/>
              <w:widowControl w:val="0"/>
              <w:spacing w:after="0" w:line="240" w:lineRule="auto"/>
              <w:rPr>
                <w:b/>
              </w:rPr>
            </w:pPr>
            <w:r>
              <w:rPr>
                <w:b/>
              </w:rPr>
              <w:t>Actual – Strategic Plan</w:t>
            </w:r>
          </w:p>
        </w:tc>
        <w:tc>
          <w:tcPr>
            <w:tcW w:w="1248" w:type="dxa"/>
          </w:tcPr>
          <w:p w14:paraId="54CFA681" w14:textId="77777777" w:rsidR="00A4199D" w:rsidRDefault="000B6150">
            <w:pPr>
              <w:keepNext/>
              <w:widowControl w:val="0"/>
              <w:spacing w:after="0" w:line="240" w:lineRule="auto"/>
              <w:rPr>
                <w:b/>
              </w:rPr>
            </w:pPr>
            <w:r>
              <w:rPr>
                <w:b/>
              </w:rPr>
              <w:t>Percent Complete</w:t>
            </w:r>
          </w:p>
        </w:tc>
        <w:tc>
          <w:tcPr>
            <w:tcW w:w="1248" w:type="dxa"/>
          </w:tcPr>
          <w:p w14:paraId="3D337549" w14:textId="77777777" w:rsidR="00A4199D" w:rsidRDefault="000B6150">
            <w:pPr>
              <w:keepNext/>
              <w:widowControl w:val="0"/>
              <w:spacing w:after="0" w:line="240" w:lineRule="auto"/>
              <w:rPr>
                <w:b/>
              </w:rPr>
            </w:pPr>
            <w:r>
              <w:rPr>
                <w:b/>
              </w:rPr>
              <w:t>Expected – Program Year</w:t>
            </w:r>
          </w:p>
        </w:tc>
        <w:tc>
          <w:tcPr>
            <w:tcW w:w="1248" w:type="dxa"/>
          </w:tcPr>
          <w:p w14:paraId="7A2743DD" w14:textId="77777777" w:rsidR="00A4199D" w:rsidRDefault="000B6150">
            <w:pPr>
              <w:keepNext/>
              <w:widowControl w:val="0"/>
              <w:spacing w:after="0" w:line="240" w:lineRule="auto"/>
              <w:rPr>
                <w:b/>
              </w:rPr>
            </w:pPr>
            <w:r>
              <w:rPr>
                <w:b/>
              </w:rPr>
              <w:t>Actual – Program Year</w:t>
            </w:r>
          </w:p>
        </w:tc>
        <w:tc>
          <w:tcPr>
            <w:tcW w:w="1248" w:type="dxa"/>
          </w:tcPr>
          <w:p w14:paraId="4F636707" w14:textId="77777777" w:rsidR="00A4199D" w:rsidRDefault="000B6150">
            <w:pPr>
              <w:keepNext/>
              <w:widowControl w:val="0"/>
              <w:spacing w:after="0" w:line="240" w:lineRule="auto"/>
              <w:rPr>
                <w:b/>
              </w:rPr>
            </w:pPr>
            <w:r>
              <w:rPr>
                <w:b/>
              </w:rPr>
              <w:t>Percent Complete</w:t>
            </w:r>
          </w:p>
        </w:tc>
      </w:tr>
      <w:tr w:rsidR="00A4199D" w14:paraId="5163F4A7" w14:textId="77777777">
        <w:trPr>
          <w:cantSplit/>
        </w:trPr>
        <w:tc>
          <w:tcPr>
            <w:tcW w:w="0" w:type="auto"/>
            <w:vAlign w:val="center"/>
          </w:tcPr>
          <w:p w14:paraId="0EDBFFDD" w14:textId="77777777" w:rsidR="00A4199D" w:rsidRDefault="000B6150">
            <w:pPr>
              <w:spacing w:beforeAutospacing="1" w:afterAutospacing="1"/>
            </w:pPr>
            <w:r>
              <w:rPr>
                <w:color w:val="000000"/>
                <w:sz w:val="22"/>
              </w:rPr>
              <w:t>Administration and Planning</w:t>
            </w:r>
          </w:p>
        </w:tc>
        <w:tc>
          <w:tcPr>
            <w:tcW w:w="0" w:type="auto"/>
            <w:vAlign w:val="center"/>
          </w:tcPr>
          <w:p w14:paraId="28F38BB1" w14:textId="77777777" w:rsidR="00A4199D" w:rsidRDefault="000B6150">
            <w:pPr>
              <w:spacing w:beforeAutospacing="1" w:afterAutospacing="1"/>
            </w:pPr>
            <w:r>
              <w:rPr>
                <w:color w:val="000000"/>
                <w:sz w:val="22"/>
              </w:rPr>
              <w:t>Affordable Housing</w:t>
            </w:r>
            <w:r>
              <w:rPr>
                <w:color w:val="000000"/>
                <w:sz w:val="22"/>
              </w:rPr>
              <w:br/>
              <w:t>Public Housing</w:t>
            </w:r>
            <w:r>
              <w:rPr>
                <w:color w:val="000000"/>
                <w:sz w:val="22"/>
              </w:rPr>
              <w:br/>
              <w:t>Homeless</w:t>
            </w:r>
            <w:r>
              <w:rPr>
                <w:color w:val="000000"/>
                <w:sz w:val="22"/>
              </w:rPr>
              <w:br/>
              <w:t>Non-Homeless Special Needs</w:t>
            </w:r>
          </w:p>
        </w:tc>
        <w:tc>
          <w:tcPr>
            <w:tcW w:w="0" w:type="auto"/>
            <w:vAlign w:val="center"/>
          </w:tcPr>
          <w:p w14:paraId="2242C6F1" w14:textId="77777777" w:rsidR="00A4199D" w:rsidRDefault="000B6150">
            <w:pPr>
              <w:spacing w:beforeAutospacing="1" w:afterAutospacing="1"/>
            </w:pPr>
            <w:r>
              <w:rPr>
                <w:color w:val="000000"/>
                <w:sz w:val="22"/>
              </w:rPr>
              <w:t>CDBG: $ / HOME: $</w:t>
            </w:r>
          </w:p>
        </w:tc>
        <w:tc>
          <w:tcPr>
            <w:tcW w:w="0" w:type="auto"/>
            <w:vAlign w:val="center"/>
          </w:tcPr>
          <w:p w14:paraId="76D6C385" w14:textId="77777777" w:rsidR="00A4199D" w:rsidRDefault="000B6150">
            <w:pPr>
              <w:spacing w:beforeAutospacing="1" w:afterAutospacing="1"/>
            </w:pPr>
            <w:r>
              <w:rPr>
                <w:color w:val="000000"/>
                <w:sz w:val="22"/>
              </w:rPr>
              <w:t>Other</w:t>
            </w:r>
          </w:p>
        </w:tc>
        <w:tc>
          <w:tcPr>
            <w:tcW w:w="0" w:type="auto"/>
            <w:vAlign w:val="center"/>
          </w:tcPr>
          <w:p w14:paraId="2817B975" w14:textId="77777777" w:rsidR="00A4199D" w:rsidRDefault="000B6150">
            <w:pPr>
              <w:spacing w:beforeAutospacing="1" w:afterAutospacing="1"/>
            </w:pPr>
            <w:r>
              <w:rPr>
                <w:color w:val="000000"/>
                <w:sz w:val="22"/>
              </w:rPr>
              <w:t>Other</w:t>
            </w:r>
          </w:p>
        </w:tc>
        <w:tc>
          <w:tcPr>
            <w:tcW w:w="0" w:type="auto"/>
            <w:vAlign w:val="center"/>
          </w:tcPr>
          <w:p w14:paraId="313285F6" w14:textId="77777777" w:rsidR="00A4199D" w:rsidRDefault="000B6150">
            <w:pPr>
              <w:spacing w:beforeAutospacing="1" w:afterAutospacing="1"/>
            </w:pPr>
            <w:r>
              <w:rPr>
                <w:color w:val="000000"/>
                <w:sz w:val="22"/>
              </w:rPr>
              <w:t>0</w:t>
            </w:r>
          </w:p>
        </w:tc>
        <w:tc>
          <w:tcPr>
            <w:tcW w:w="0" w:type="auto"/>
            <w:vAlign w:val="center"/>
          </w:tcPr>
          <w:p w14:paraId="7A49FAA4" w14:textId="77777777" w:rsidR="00A4199D" w:rsidRDefault="000B6150">
            <w:pPr>
              <w:spacing w:beforeAutospacing="1" w:afterAutospacing="1"/>
            </w:pPr>
            <w:r>
              <w:rPr>
                <w:color w:val="000000"/>
                <w:sz w:val="22"/>
              </w:rPr>
              <w:t>0</w:t>
            </w:r>
          </w:p>
        </w:tc>
        <w:tc>
          <w:tcPr>
            <w:tcW w:w="0" w:type="auto"/>
            <w:vAlign w:val="center"/>
          </w:tcPr>
          <w:p w14:paraId="03216256" w14:textId="77777777" w:rsidR="00A4199D" w:rsidRDefault="000B6150">
            <w:pPr>
              <w:spacing w:beforeAutospacing="1" w:afterAutospacing="1"/>
            </w:pPr>
            <w:r>
              <w:rPr>
                <w:color w:val="000000"/>
                <w:sz w:val="22"/>
              </w:rPr>
              <w:t xml:space="preserve"> </w:t>
            </w:r>
          </w:p>
        </w:tc>
        <w:tc>
          <w:tcPr>
            <w:tcW w:w="0" w:type="auto"/>
            <w:vAlign w:val="center"/>
          </w:tcPr>
          <w:p w14:paraId="32C6415A" w14:textId="77777777" w:rsidR="00A4199D" w:rsidRDefault="000B6150">
            <w:pPr>
              <w:spacing w:beforeAutospacing="1" w:afterAutospacing="1"/>
            </w:pPr>
            <w:r>
              <w:rPr>
                <w:color w:val="000000"/>
                <w:sz w:val="22"/>
              </w:rPr>
              <w:t xml:space="preserve"> </w:t>
            </w:r>
          </w:p>
        </w:tc>
        <w:tc>
          <w:tcPr>
            <w:tcW w:w="0" w:type="auto"/>
            <w:vAlign w:val="center"/>
          </w:tcPr>
          <w:p w14:paraId="7AC5F7CE" w14:textId="77777777" w:rsidR="00A4199D" w:rsidRDefault="000B6150">
            <w:pPr>
              <w:spacing w:beforeAutospacing="1" w:afterAutospacing="1"/>
            </w:pPr>
            <w:r>
              <w:rPr>
                <w:color w:val="000000"/>
                <w:sz w:val="22"/>
              </w:rPr>
              <w:t xml:space="preserve"> </w:t>
            </w:r>
          </w:p>
        </w:tc>
        <w:tc>
          <w:tcPr>
            <w:tcW w:w="0" w:type="auto"/>
            <w:vAlign w:val="center"/>
          </w:tcPr>
          <w:p w14:paraId="17C09013" w14:textId="77777777" w:rsidR="00A4199D" w:rsidRDefault="000B6150">
            <w:pPr>
              <w:spacing w:beforeAutospacing="1" w:afterAutospacing="1"/>
            </w:pPr>
            <w:r>
              <w:rPr>
                <w:color w:val="000000"/>
                <w:sz w:val="22"/>
              </w:rPr>
              <w:t xml:space="preserve"> </w:t>
            </w:r>
          </w:p>
        </w:tc>
      </w:tr>
      <w:tr w:rsidR="00A4199D" w14:paraId="078E46E9" w14:textId="77777777">
        <w:trPr>
          <w:cantSplit/>
        </w:trPr>
        <w:tc>
          <w:tcPr>
            <w:tcW w:w="0" w:type="auto"/>
            <w:vAlign w:val="center"/>
          </w:tcPr>
          <w:p w14:paraId="02AD9D03" w14:textId="77777777" w:rsidR="00A4199D" w:rsidRDefault="000B6150">
            <w:pPr>
              <w:spacing w:beforeAutospacing="1" w:afterAutospacing="1"/>
            </w:pPr>
            <w:r>
              <w:rPr>
                <w:color w:val="000000"/>
                <w:sz w:val="22"/>
              </w:rPr>
              <w:t>Affordable Housing Development</w:t>
            </w:r>
          </w:p>
        </w:tc>
        <w:tc>
          <w:tcPr>
            <w:tcW w:w="0" w:type="auto"/>
            <w:vAlign w:val="center"/>
          </w:tcPr>
          <w:p w14:paraId="596D369C" w14:textId="77777777" w:rsidR="00A4199D" w:rsidRDefault="000B6150">
            <w:pPr>
              <w:spacing w:beforeAutospacing="1" w:afterAutospacing="1"/>
            </w:pPr>
            <w:r>
              <w:rPr>
                <w:color w:val="000000"/>
                <w:sz w:val="22"/>
              </w:rPr>
              <w:t>Affordable Housing</w:t>
            </w:r>
            <w:r>
              <w:rPr>
                <w:color w:val="000000"/>
                <w:sz w:val="22"/>
              </w:rPr>
              <w:br/>
            </w:r>
            <w:r>
              <w:rPr>
                <w:color w:val="000000"/>
                <w:sz w:val="22"/>
              </w:rPr>
              <w:t>Public Housing</w:t>
            </w:r>
            <w:r>
              <w:rPr>
                <w:color w:val="000000"/>
                <w:sz w:val="22"/>
              </w:rPr>
              <w:br/>
              <w:t>Homeless</w:t>
            </w:r>
          </w:p>
        </w:tc>
        <w:tc>
          <w:tcPr>
            <w:tcW w:w="0" w:type="auto"/>
            <w:vAlign w:val="center"/>
          </w:tcPr>
          <w:p w14:paraId="4DD4D331" w14:textId="77777777" w:rsidR="00A4199D" w:rsidRDefault="000B6150">
            <w:pPr>
              <w:spacing w:beforeAutospacing="1" w:afterAutospacing="1"/>
            </w:pPr>
            <w:r>
              <w:rPr>
                <w:color w:val="000000"/>
                <w:sz w:val="22"/>
              </w:rPr>
              <w:t>CDBG: $ / HOME: $ / Housing Trust Fund: $ / Local Sales Tax: $</w:t>
            </w:r>
          </w:p>
        </w:tc>
        <w:tc>
          <w:tcPr>
            <w:tcW w:w="0" w:type="auto"/>
            <w:vAlign w:val="center"/>
          </w:tcPr>
          <w:p w14:paraId="78B6EB72" w14:textId="77777777" w:rsidR="00A4199D" w:rsidRDefault="000B6150">
            <w:pPr>
              <w:spacing w:beforeAutospacing="1" w:afterAutospacing="1"/>
            </w:pPr>
            <w:r>
              <w:rPr>
                <w:color w:val="000000"/>
                <w:sz w:val="22"/>
              </w:rPr>
              <w:t>Rental units constructed</w:t>
            </w:r>
          </w:p>
        </w:tc>
        <w:tc>
          <w:tcPr>
            <w:tcW w:w="0" w:type="auto"/>
            <w:vAlign w:val="center"/>
          </w:tcPr>
          <w:p w14:paraId="1C735CCB" w14:textId="77777777" w:rsidR="00A4199D" w:rsidRDefault="000B6150">
            <w:pPr>
              <w:spacing w:beforeAutospacing="1" w:afterAutospacing="1"/>
            </w:pPr>
            <w:r>
              <w:rPr>
                <w:color w:val="000000"/>
                <w:sz w:val="22"/>
              </w:rPr>
              <w:t>Household Housing Unit</w:t>
            </w:r>
          </w:p>
        </w:tc>
        <w:tc>
          <w:tcPr>
            <w:tcW w:w="0" w:type="auto"/>
            <w:vAlign w:val="center"/>
          </w:tcPr>
          <w:p w14:paraId="10BB8C46" w14:textId="77777777" w:rsidR="00A4199D" w:rsidRDefault="000B6150">
            <w:pPr>
              <w:spacing w:beforeAutospacing="1" w:afterAutospacing="1"/>
            </w:pPr>
            <w:r>
              <w:rPr>
                <w:color w:val="000000"/>
                <w:sz w:val="22"/>
              </w:rPr>
              <w:t>25</w:t>
            </w:r>
          </w:p>
        </w:tc>
        <w:tc>
          <w:tcPr>
            <w:tcW w:w="0" w:type="auto"/>
            <w:vAlign w:val="center"/>
          </w:tcPr>
          <w:p w14:paraId="06011992" w14:textId="77777777" w:rsidR="00A4199D" w:rsidRDefault="000B6150">
            <w:pPr>
              <w:spacing w:beforeAutospacing="1" w:afterAutospacing="1"/>
            </w:pPr>
            <w:r>
              <w:rPr>
                <w:color w:val="000000"/>
                <w:sz w:val="22"/>
              </w:rPr>
              <w:t>0</w:t>
            </w:r>
          </w:p>
        </w:tc>
        <w:tc>
          <w:tcPr>
            <w:tcW w:w="0" w:type="auto"/>
            <w:vAlign w:val="center"/>
          </w:tcPr>
          <w:p w14:paraId="733EBC18" w14:textId="77777777" w:rsidR="00A4199D" w:rsidRDefault="000B6150">
            <w:pPr>
              <w:spacing w:beforeAutospacing="1" w:afterAutospacing="1"/>
            </w:pPr>
            <w:r>
              <w:rPr>
                <w:color w:val="000000"/>
                <w:sz w:val="22"/>
              </w:rPr>
              <w:t xml:space="preserve">         0.00%</w:t>
            </w:r>
          </w:p>
        </w:tc>
        <w:tc>
          <w:tcPr>
            <w:tcW w:w="0" w:type="auto"/>
            <w:vAlign w:val="center"/>
          </w:tcPr>
          <w:p w14:paraId="48C2DE8D" w14:textId="77777777" w:rsidR="00A4199D" w:rsidRDefault="000B6150">
            <w:pPr>
              <w:spacing w:beforeAutospacing="1" w:afterAutospacing="1"/>
            </w:pPr>
            <w:r>
              <w:rPr>
                <w:color w:val="000000"/>
                <w:sz w:val="22"/>
              </w:rPr>
              <w:t>5</w:t>
            </w:r>
          </w:p>
        </w:tc>
        <w:tc>
          <w:tcPr>
            <w:tcW w:w="0" w:type="auto"/>
            <w:vAlign w:val="center"/>
          </w:tcPr>
          <w:p w14:paraId="76E0AE8C" w14:textId="77777777" w:rsidR="00A4199D" w:rsidRDefault="000B6150">
            <w:pPr>
              <w:spacing w:beforeAutospacing="1" w:afterAutospacing="1"/>
            </w:pPr>
            <w:r>
              <w:rPr>
                <w:color w:val="000000"/>
                <w:sz w:val="22"/>
              </w:rPr>
              <w:t>0</w:t>
            </w:r>
          </w:p>
        </w:tc>
        <w:tc>
          <w:tcPr>
            <w:tcW w:w="0" w:type="auto"/>
            <w:vAlign w:val="center"/>
          </w:tcPr>
          <w:p w14:paraId="24951D35" w14:textId="77777777" w:rsidR="00A4199D" w:rsidRDefault="000B6150">
            <w:pPr>
              <w:spacing w:beforeAutospacing="1" w:afterAutospacing="1"/>
            </w:pPr>
            <w:r>
              <w:rPr>
                <w:color w:val="000000"/>
                <w:sz w:val="22"/>
              </w:rPr>
              <w:t xml:space="preserve">         0.00%</w:t>
            </w:r>
          </w:p>
        </w:tc>
      </w:tr>
      <w:tr w:rsidR="00A4199D" w14:paraId="47825CD7" w14:textId="77777777">
        <w:trPr>
          <w:cantSplit/>
        </w:trPr>
        <w:tc>
          <w:tcPr>
            <w:tcW w:w="0" w:type="auto"/>
            <w:vAlign w:val="center"/>
          </w:tcPr>
          <w:p w14:paraId="78430526" w14:textId="77777777" w:rsidR="00A4199D" w:rsidRDefault="000B6150">
            <w:pPr>
              <w:spacing w:beforeAutospacing="1" w:afterAutospacing="1"/>
            </w:pPr>
            <w:r>
              <w:rPr>
                <w:color w:val="000000"/>
                <w:sz w:val="22"/>
              </w:rPr>
              <w:t>Build CHDO Capacity</w:t>
            </w:r>
          </w:p>
        </w:tc>
        <w:tc>
          <w:tcPr>
            <w:tcW w:w="0" w:type="auto"/>
            <w:vAlign w:val="center"/>
          </w:tcPr>
          <w:p w14:paraId="3E297EF6" w14:textId="77777777" w:rsidR="00A4199D" w:rsidRDefault="000B6150">
            <w:pPr>
              <w:spacing w:beforeAutospacing="1" w:afterAutospacing="1"/>
            </w:pPr>
            <w:r>
              <w:rPr>
                <w:color w:val="000000"/>
                <w:sz w:val="22"/>
              </w:rPr>
              <w:t>Affordable Housing</w:t>
            </w:r>
          </w:p>
        </w:tc>
        <w:tc>
          <w:tcPr>
            <w:tcW w:w="0" w:type="auto"/>
            <w:vAlign w:val="center"/>
          </w:tcPr>
          <w:p w14:paraId="58F87C75" w14:textId="77777777" w:rsidR="00A4199D" w:rsidRDefault="000B6150">
            <w:pPr>
              <w:spacing w:beforeAutospacing="1" w:afterAutospacing="1"/>
            </w:pPr>
            <w:r>
              <w:rPr>
                <w:color w:val="000000"/>
                <w:sz w:val="22"/>
              </w:rPr>
              <w:t>CDBG: $ / HOME: $</w:t>
            </w:r>
          </w:p>
        </w:tc>
        <w:tc>
          <w:tcPr>
            <w:tcW w:w="0" w:type="auto"/>
            <w:vAlign w:val="center"/>
          </w:tcPr>
          <w:p w14:paraId="4FCB6D38" w14:textId="77777777" w:rsidR="00A4199D" w:rsidRDefault="000B6150">
            <w:pPr>
              <w:spacing w:beforeAutospacing="1" w:afterAutospacing="1"/>
            </w:pPr>
            <w:r>
              <w:rPr>
                <w:color w:val="000000"/>
                <w:sz w:val="22"/>
              </w:rPr>
              <w:t>Rental units constructed</w:t>
            </w:r>
          </w:p>
        </w:tc>
        <w:tc>
          <w:tcPr>
            <w:tcW w:w="0" w:type="auto"/>
            <w:vAlign w:val="center"/>
          </w:tcPr>
          <w:p w14:paraId="4A29D995" w14:textId="77777777" w:rsidR="00A4199D" w:rsidRDefault="000B6150">
            <w:pPr>
              <w:spacing w:beforeAutospacing="1" w:afterAutospacing="1"/>
            </w:pPr>
            <w:r>
              <w:rPr>
                <w:color w:val="000000"/>
                <w:sz w:val="22"/>
              </w:rPr>
              <w:t>Household Housing Unit</w:t>
            </w:r>
          </w:p>
        </w:tc>
        <w:tc>
          <w:tcPr>
            <w:tcW w:w="0" w:type="auto"/>
            <w:vAlign w:val="center"/>
          </w:tcPr>
          <w:p w14:paraId="428CF39C" w14:textId="77777777" w:rsidR="00A4199D" w:rsidRDefault="000B6150">
            <w:pPr>
              <w:spacing w:beforeAutospacing="1" w:afterAutospacing="1"/>
            </w:pPr>
            <w:r>
              <w:rPr>
                <w:color w:val="000000"/>
                <w:sz w:val="22"/>
              </w:rPr>
              <w:t>10</w:t>
            </w:r>
          </w:p>
        </w:tc>
        <w:tc>
          <w:tcPr>
            <w:tcW w:w="0" w:type="auto"/>
            <w:vAlign w:val="center"/>
          </w:tcPr>
          <w:p w14:paraId="346A7047" w14:textId="77777777" w:rsidR="00A4199D" w:rsidRDefault="000B6150">
            <w:pPr>
              <w:spacing w:beforeAutospacing="1" w:afterAutospacing="1"/>
            </w:pPr>
            <w:r>
              <w:rPr>
                <w:color w:val="000000"/>
                <w:sz w:val="22"/>
              </w:rPr>
              <w:t>0</w:t>
            </w:r>
          </w:p>
        </w:tc>
        <w:tc>
          <w:tcPr>
            <w:tcW w:w="0" w:type="auto"/>
            <w:vAlign w:val="center"/>
          </w:tcPr>
          <w:p w14:paraId="72622E01" w14:textId="77777777" w:rsidR="00A4199D" w:rsidRDefault="000B6150">
            <w:pPr>
              <w:spacing w:beforeAutospacing="1" w:afterAutospacing="1"/>
            </w:pPr>
            <w:r>
              <w:rPr>
                <w:color w:val="000000"/>
                <w:sz w:val="22"/>
              </w:rPr>
              <w:t xml:space="preserve">         0.00%</w:t>
            </w:r>
          </w:p>
        </w:tc>
        <w:tc>
          <w:tcPr>
            <w:tcW w:w="0" w:type="auto"/>
            <w:vAlign w:val="center"/>
          </w:tcPr>
          <w:p w14:paraId="3B8BD0E1" w14:textId="77777777" w:rsidR="00A4199D" w:rsidRDefault="000B6150">
            <w:pPr>
              <w:spacing w:beforeAutospacing="1" w:afterAutospacing="1"/>
            </w:pPr>
            <w:r>
              <w:rPr>
                <w:color w:val="000000"/>
                <w:sz w:val="22"/>
              </w:rPr>
              <w:t xml:space="preserve"> </w:t>
            </w:r>
          </w:p>
        </w:tc>
        <w:tc>
          <w:tcPr>
            <w:tcW w:w="0" w:type="auto"/>
            <w:vAlign w:val="center"/>
          </w:tcPr>
          <w:p w14:paraId="7DD90C98" w14:textId="77777777" w:rsidR="00A4199D" w:rsidRDefault="000B6150">
            <w:pPr>
              <w:spacing w:beforeAutospacing="1" w:afterAutospacing="1"/>
            </w:pPr>
            <w:r>
              <w:rPr>
                <w:color w:val="000000"/>
                <w:sz w:val="22"/>
              </w:rPr>
              <w:t xml:space="preserve"> </w:t>
            </w:r>
          </w:p>
        </w:tc>
        <w:tc>
          <w:tcPr>
            <w:tcW w:w="0" w:type="auto"/>
            <w:vAlign w:val="center"/>
          </w:tcPr>
          <w:p w14:paraId="0AC520A7" w14:textId="77777777" w:rsidR="00A4199D" w:rsidRDefault="000B6150">
            <w:pPr>
              <w:spacing w:beforeAutospacing="1" w:afterAutospacing="1"/>
            </w:pPr>
            <w:r>
              <w:rPr>
                <w:color w:val="000000"/>
                <w:sz w:val="22"/>
              </w:rPr>
              <w:t xml:space="preserve"> </w:t>
            </w:r>
          </w:p>
        </w:tc>
      </w:tr>
      <w:tr w:rsidR="00A4199D" w14:paraId="59A075C9" w14:textId="77777777">
        <w:trPr>
          <w:cantSplit/>
        </w:trPr>
        <w:tc>
          <w:tcPr>
            <w:tcW w:w="0" w:type="auto"/>
            <w:vAlign w:val="center"/>
          </w:tcPr>
          <w:p w14:paraId="6F308A74" w14:textId="77777777" w:rsidR="00A4199D" w:rsidRDefault="000B6150">
            <w:pPr>
              <w:spacing w:beforeAutospacing="1" w:afterAutospacing="1"/>
            </w:pPr>
            <w:r>
              <w:rPr>
                <w:color w:val="000000"/>
                <w:sz w:val="22"/>
              </w:rPr>
              <w:t>Build CHDO Capacity</w:t>
            </w:r>
          </w:p>
        </w:tc>
        <w:tc>
          <w:tcPr>
            <w:tcW w:w="0" w:type="auto"/>
            <w:vAlign w:val="center"/>
          </w:tcPr>
          <w:p w14:paraId="343C88FD" w14:textId="77777777" w:rsidR="00A4199D" w:rsidRDefault="000B6150">
            <w:pPr>
              <w:spacing w:beforeAutospacing="1" w:afterAutospacing="1"/>
            </w:pPr>
            <w:r>
              <w:rPr>
                <w:color w:val="000000"/>
                <w:sz w:val="22"/>
              </w:rPr>
              <w:t>Affordable Housing</w:t>
            </w:r>
          </w:p>
        </w:tc>
        <w:tc>
          <w:tcPr>
            <w:tcW w:w="0" w:type="auto"/>
            <w:vAlign w:val="center"/>
          </w:tcPr>
          <w:p w14:paraId="11602DB3" w14:textId="77777777" w:rsidR="00A4199D" w:rsidRDefault="000B6150">
            <w:pPr>
              <w:spacing w:beforeAutospacing="1" w:afterAutospacing="1"/>
            </w:pPr>
            <w:r>
              <w:rPr>
                <w:color w:val="000000"/>
                <w:sz w:val="22"/>
              </w:rPr>
              <w:t>CDBG: $ / HOME: $</w:t>
            </w:r>
          </w:p>
        </w:tc>
        <w:tc>
          <w:tcPr>
            <w:tcW w:w="0" w:type="auto"/>
            <w:vAlign w:val="center"/>
          </w:tcPr>
          <w:p w14:paraId="31C5F310" w14:textId="77777777" w:rsidR="00A4199D" w:rsidRDefault="000B6150">
            <w:pPr>
              <w:spacing w:beforeAutospacing="1" w:afterAutospacing="1"/>
            </w:pPr>
            <w:r>
              <w:rPr>
                <w:color w:val="000000"/>
                <w:sz w:val="22"/>
              </w:rPr>
              <w:t>Homeowner Housing Added</w:t>
            </w:r>
          </w:p>
        </w:tc>
        <w:tc>
          <w:tcPr>
            <w:tcW w:w="0" w:type="auto"/>
            <w:vAlign w:val="center"/>
          </w:tcPr>
          <w:p w14:paraId="120A67C9" w14:textId="77777777" w:rsidR="00A4199D" w:rsidRDefault="000B6150">
            <w:pPr>
              <w:spacing w:beforeAutospacing="1" w:afterAutospacing="1"/>
            </w:pPr>
            <w:r>
              <w:rPr>
                <w:color w:val="000000"/>
                <w:sz w:val="22"/>
              </w:rPr>
              <w:t>Household Housing Unit</w:t>
            </w:r>
          </w:p>
        </w:tc>
        <w:tc>
          <w:tcPr>
            <w:tcW w:w="0" w:type="auto"/>
            <w:vAlign w:val="center"/>
          </w:tcPr>
          <w:p w14:paraId="343C3BA0" w14:textId="77777777" w:rsidR="00A4199D" w:rsidRDefault="000B6150">
            <w:pPr>
              <w:spacing w:beforeAutospacing="1" w:afterAutospacing="1"/>
            </w:pPr>
            <w:r>
              <w:rPr>
                <w:color w:val="000000"/>
                <w:sz w:val="22"/>
              </w:rPr>
              <w:t>0</w:t>
            </w:r>
          </w:p>
        </w:tc>
        <w:tc>
          <w:tcPr>
            <w:tcW w:w="0" w:type="auto"/>
            <w:vAlign w:val="center"/>
          </w:tcPr>
          <w:p w14:paraId="05C8260C" w14:textId="77777777" w:rsidR="00A4199D" w:rsidRDefault="000B6150">
            <w:pPr>
              <w:spacing w:beforeAutospacing="1" w:afterAutospacing="1"/>
            </w:pPr>
            <w:r>
              <w:rPr>
                <w:color w:val="000000"/>
                <w:sz w:val="22"/>
              </w:rPr>
              <w:t>5</w:t>
            </w:r>
          </w:p>
        </w:tc>
        <w:tc>
          <w:tcPr>
            <w:tcW w:w="0" w:type="auto"/>
            <w:vAlign w:val="center"/>
          </w:tcPr>
          <w:p w14:paraId="6A684152" w14:textId="77777777" w:rsidR="00A4199D" w:rsidRDefault="000B6150">
            <w:pPr>
              <w:spacing w:beforeAutospacing="1" w:afterAutospacing="1"/>
            </w:pPr>
            <w:r>
              <w:rPr>
                <w:color w:val="000000"/>
                <w:sz w:val="22"/>
              </w:rPr>
              <w:t xml:space="preserve"> </w:t>
            </w:r>
          </w:p>
        </w:tc>
        <w:tc>
          <w:tcPr>
            <w:tcW w:w="0" w:type="auto"/>
            <w:vAlign w:val="center"/>
          </w:tcPr>
          <w:p w14:paraId="3C9ED203" w14:textId="77777777" w:rsidR="00A4199D" w:rsidRDefault="000B6150">
            <w:pPr>
              <w:spacing w:beforeAutospacing="1" w:afterAutospacing="1"/>
            </w:pPr>
            <w:r>
              <w:rPr>
                <w:color w:val="000000"/>
                <w:sz w:val="22"/>
              </w:rPr>
              <w:t>2</w:t>
            </w:r>
          </w:p>
        </w:tc>
        <w:tc>
          <w:tcPr>
            <w:tcW w:w="0" w:type="auto"/>
            <w:vAlign w:val="center"/>
          </w:tcPr>
          <w:p w14:paraId="33EB9428" w14:textId="77777777" w:rsidR="00A4199D" w:rsidRDefault="000B6150">
            <w:pPr>
              <w:spacing w:beforeAutospacing="1" w:afterAutospacing="1"/>
            </w:pPr>
            <w:r>
              <w:rPr>
                <w:color w:val="000000"/>
                <w:sz w:val="22"/>
              </w:rPr>
              <w:t>5</w:t>
            </w:r>
          </w:p>
        </w:tc>
        <w:tc>
          <w:tcPr>
            <w:tcW w:w="0" w:type="auto"/>
            <w:vAlign w:val="center"/>
          </w:tcPr>
          <w:p w14:paraId="6F9F9EEA" w14:textId="77777777" w:rsidR="00A4199D" w:rsidRDefault="000B6150">
            <w:pPr>
              <w:spacing w:beforeAutospacing="1" w:afterAutospacing="1"/>
            </w:pPr>
            <w:r>
              <w:rPr>
                <w:color w:val="000000"/>
                <w:sz w:val="22"/>
              </w:rPr>
              <w:t xml:space="preserve">       250.00%</w:t>
            </w:r>
          </w:p>
        </w:tc>
      </w:tr>
      <w:tr w:rsidR="00A4199D" w14:paraId="4D87928B" w14:textId="77777777">
        <w:trPr>
          <w:cantSplit/>
        </w:trPr>
        <w:tc>
          <w:tcPr>
            <w:tcW w:w="0" w:type="auto"/>
            <w:vAlign w:val="center"/>
          </w:tcPr>
          <w:p w14:paraId="7BD386BE" w14:textId="77777777" w:rsidR="00A4199D" w:rsidRDefault="000B6150">
            <w:pPr>
              <w:spacing w:beforeAutospacing="1" w:afterAutospacing="1"/>
            </w:pPr>
            <w:r>
              <w:rPr>
                <w:color w:val="000000"/>
                <w:sz w:val="22"/>
              </w:rPr>
              <w:lastRenderedPageBreak/>
              <w:t>End Homelessness</w:t>
            </w:r>
          </w:p>
        </w:tc>
        <w:tc>
          <w:tcPr>
            <w:tcW w:w="0" w:type="auto"/>
            <w:vAlign w:val="center"/>
          </w:tcPr>
          <w:p w14:paraId="7CE52859" w14:textId="77777777" w:rsidR="00A4199D" w:rsidRDefault="000B6150">
            <w:pPr>
              <w:spacing w:beforeAutospacing="1" w:afterAutospacing="1"/>
            </w:pPr>
            <w:r>
              <w:rPr>
                <w:color w:val="000000"/>
                <w:sz w:val="22"/>
              </w:rPr>
              <w:t>Homeless</w:t>
            </w:r>
          </w:p>
        </w:tc>
        <w:tc>
          <w:tcPr>
            <w:tcW w:w="0" w:type="auto"/>
            <w:vAlign w:val="center"/>
          </w:tcPr>
          <w:p w14:paraId="7E49CBF3" w14:textId="77777777" w:rsidR="00A4199D" w:rsidRDefault="000B6150">
            <w:pPr>
              <w:spacing w:beforeAutospacing="1" w:afterAutospacing="1"/>
            </w:pPr>
            <w:r>
              <w:rPr>
                <w:color w:val="000000"/>
                <w:sz w:val="22"/>
              </w:rPr>
              <w:t>HOME: $</w:t>
            </w:r>
          </w:p>
        </w:tc>
        <w:tc>
          <w:tcPr>
            <w:tcW w:w="0" w:type="auto"/>
            <w:vAlign w:val="center"/>
          </w:tcPr>
          <w:p w14:paraId="70221F96" w14:textId="77777777" w:rsidR="00A4199D" w:rsidRDefault="000B6150">
            <w:pPr>
              <w:spacing w:beforeAutospacing="1" w:afterAutospacing="1"/>
            </w:pPr>
            <w:r>
              <w:rPr>
                <w:color w:val="000000"/>
                <w:sz w:val="22"/>
              </w:rPr>
              <w:t>Tenant-based rental assistance / Rapid Rehousing</w:t>
            </w:r>
          </w:p>
        </w:tc>
        <w:tc>
          <w:tcPr>
            <w:tcW w:w="0" w:type="auto"/>
            <w:vAlign w:val="center"/>
          </w:tcPr>
          <w:p w14:paraId="6822B680" w14:textId="77777777" w:rsidR="00A4199D" w:rsidRDefault="000B6150">
            <w:pPr>
              <w:spacing w:beforeAutospacing="1" w:afterAutospacing="1"/>
            </w:pPr>
            <w:r>
              <w:rPr>
                <w:color w:val="000000"/>
                <w:sz w:val="22"/>
              </w:rPr>
              <w:t>Households Assisted</w:t>
            </w:r>
          </w:p>
        </w:tc>
        <w:tc>
          <w:tcPr>
            <w:tcW w:w="0" w:type="auto"/>
            <w:vAlign w:val="center"/>
          </w:tcPr>
          <w:p w14:paraId="16C033D4" w14:textId="77777777" w:rsidR="00A4199D" w:rsidRDefault="000B6150">
            <w:pPr>
              <w:spacing w:beforeAutospacing="1" w:afterAutospacing="1"/>
            </w:pPr>
            <w:r>
              <w:rPr>
                <w:color w:val="000000"/>
                <w:sz w:val="22"/>
              </w:rPr>
              <w:t>40</w:t>
            </w:r>
          </w:p>
        </w:tc>
        <w:tc>
          <w:tcPr>
            <w:tcW w:w="0" w:type="auto"/>
            <w:vAlign w:val="center"/>
          </w:tcPr>
          <w:p w14:paraId="669111FF" w14:textId="77777777" w:rsidR="00A4199D" w:rsidRDefault="000B6150">
            <w:pPr>
              <w:spacing w:beforeAutospacing="1" w:afterAutospacing="1"/>
            </w:pPr>
            <w:r>
              <w:rPr>
                <w:color w:val="000000"/>
                <w:sz w:val="22"/>
              </w:rPr>
              <w:t>32</w:t>
            </w:r>
          </w:p>
        </w:tc>
        <w:tc>
          <w:tcPr>
            <w:tcW w:w="0" w:type="auto"/>
            <w:vAlign w:val="center"/>
          </w:tcPr>
          <w:p w14:paraId="666C5680" w14:textId="77777777" w:rsidR="00A4199D" w:rsidRDefault="000B6150">
            <w:pPr>
              <w:spacing w:beforeAutospacing="1" w:afterAutospacing="1"/>
            </w:pPr>
            <w:r>
              <w:rPr>
                <w:color w:val="000000"/>
                <w:sz w:val="22"/>
              </w:rPr>
              <w:t xml:space="preserve">        80.00%</w:t>
            </w:r>
          </w:p>
        </w:tc>
        <w:tc>
          <w:tcPr>
            <w:tcW w:w="0" w:type="auto"/>
            <w:vAlign w:val="center"/>
          </w:tcPr>
          <w:p w14:paraId="653F57CC" w14:textId="77777777" w:rsidR="00A4199D" w:rsidRDefault="000B6150">
            <w:pPr>
              <w:spacing w:beforeAutospacing="1" w:afterAutospacing="1"/>
            </w:pPr>
            <w:r>
              <w:rPr>
                <w:color w:val="000000"/>
                <w:sz w:val="22"/>
              </w:rPr>
              <w:t>40</w:t>
            </w:r>
          </w:p>
        </w:tc>
        <w:tc>
          <w:tcPr>
            <w:tcW w:w="0" w:type="auto"/>
            <w:vAlign w:val="center"/>
          </w:tcPr>
          <w:p w14:paraId="4A180B25" w14:textId="77777777" w:rsidR="00A4199D" w:rsidRDefault="000B6150">
            <w:pPr>
              <w:spacing w:beforeAutospacing="1" w:afterAutospacing="1"/>
            </w:pPr>
            <w:r>
              <w:rPr>
                <w:color w:val="000000"/>
                <w:sz w:val="22"/>
              </w:rPr>
              <w:t>32</w:t>
            </w:r>
          </w:p>
        </w:tc>
        <w:tc>
          <w:tcPr>
            <w:tcW w:w="0" w:type="auto"/>
            <w:vAlign w:val="center"/>
          </w:tcPr>
          <w:p w14:paraId="177062B6" w14:textId="77777777" w:rsidR="00A4199D" w:rsidRDefault="000B6150">
            <w:pPr>
              <w:spacing w:beforeAutospacing="1" w:afterAutospacing="1"/>
            </w:pPr>
            <w:r>
              <w:rPr>
                <w:color w:val="000000"/>
                <w:sz w:val="22"/>
              </w:rPr>
              <w:t xml:space="preserve">        80.00%</w:t>
            </w:r>
          </w:p>
        </w:tc>
      </w:tr>
    </w:tbl>
    <w:p w14:paraId="650DC1B3"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14:paraId="5BCCDCBF" w14:textId="77777777" w:rsidR="00A4199D" w:rsidRDefault="00A4199D"/>
    <w:p w14:paraId="5D3D7ABB" w14:textId="77777777" w:rsidR="00A4199D" w:rsidRDefault="00A4199D">
      <w:pPr>
        <w:spacing w:after="0" w:line="240" w:lineRule="auto"/>
      </w:pPr>
    </w:p>
    <w:p w14:paraId="1A9A2EA1" w14:textId="77777777" w:rsidR="00A4199D" w:rsidRDefault="000B6150">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14:paraId="27FB9009" w14:textId="77777777" w:rsidR="00A4199D" w:rsidRDefault="00A4199D">
      <w:pPr>
        <w:spacing w:beforeAutospacing="1" w:afterAutospacing="1"/>
      </w:pPr>
    </w:p>
    <w:p w14:paraId="78D16FEC" w14:textId="77777777" w:rsidR="00A4199D" w:rsidRDefault="00A4199D">
      <w:pPr>
        <w:keepNext/>
        <w:widowControl w:val="0"/>
        <w:spacing w:line="204" w:lineRule="auto"/>
        <w:rPr>
          <w:b/>
          <w:sz w:val="24"/>
          <w:szCs w:val="24"/>
        </w:rPr>
      </w:pPr>
    </w:p>
    <w:p w14:paraId="15BFBBF4" w14:textId="77777777" w:rsidR="00A4199D" w:rsidRDefault="00A4199D">
      <w:pPr>
        <w:rPr>
          <w:b/>
          <w:i/>
          <w:sz w:val="26"/>
          <w:szCs w:val="26"/>
        </w:rPr>
        <w:sectPr w:rsidR="00A4199D">
          <w:footerReference w:type="default" r:id="rId8"/>
          <w:pgSz w:w="15840" w:h="12240" w:orient="landscape"/>
          <w:pgMar w:top="1440" w:right="1440" w:bottom="1440" w:left="1440" w:header="720" w:footer="720" w:gutter="0"/>
          <w:cols w:space="720"/>
          <w:docGrid w:linePitch="360"/>
        </w:sectPr>
      </w:pPr>
    </w:p>
    <w:p w14:paraId="779A45FF" w14:textId="77777777" w:rsidR="00A4199D" w:rsidRDefault="000B6150">
      <w:pPr>
        <w:pStyle w:val="Heading2"/>
        <w:rPr>
          <w:rFonts w:asciiTheme="minorHAnsi" w:hAnsiTheme="minorHAnsi"/>
          <w:i w:val="0"/>
        </w:rPr>
      </w:pPr>
      <w:bookmarkStart w:id="0" w:name="_Toc309810474"/>
      <w:r>
        <w:rPr>
          <w:rFonts w:asciiTheme="minorHAnsi" w:hAnsiTheme="minorHAnsi"/>
          <w:i w:val="0"/>
        </w:rPr>
        <w:lastRenderedPageBreak/>
        <w:t>CR-10 - Racial and Ethnic composition of families assisted</w:t>
      </w:r>
    </w:p>
    <w:p w14:paraId="747C36FA" w14:textId="77777777" w:rsidR="00A4199D" w:rsidRDefault="000B6150">
      <w:pPr>
        <w:keepNext/>
        <w:widowControl w:val="0"/>
        <w:rPr>
          <w:b/>
          <w:sz w:val="24"/>
          <w:szCs w:val="24"/>
        </w:rPr>
      </w:pPr>
      <w:r>
        <w:rPr>
          <w:b/>
          <w:sz w:val="24"/>
          <w:szCs w:val="24"/>
        </w:rPr>
        <w:t xml:space="preserve">Describe the families assisted (including the racial and ethnic status of families assisted). 91.520(a) </w:t>
      </w:r>
    </w:p>
    <w:p w14:paraId="5C561206" w14:textId="77777777" w:rsidR="00A4199D" w:rsidRDefault="00A4199D">
      <w:pPr>
        <w:widowControl w:val="0"/>
        <w:spacing w:after="0" w:line="240" w:lineRule="auto"/>
        <w:rPr>
          <w:b/>
          <w:vanish/>
          <w:sz w:val="24"/>
          <w:szCs w:val="24"/>
        </w:rPr>
      </w:pPr>
    </w:p>
    <w:p w14:paraId="6CFE5E19" w14:textId="77777777" w:rsidR="00A4199D" w:rsidRDefault="00A4199D">
      <w:pPr>
        <w:pStyle w:val="NoSpacing"/>
        <w:rPr>
          <w:vanish/>
        </w:rPr>
      </w:pPr>
    </w:p>
    <w:p w14:paraId="756CD0D3" w14:textId="77777777" w:rsidR="00A4199D" w:rsidRDefault="00A4199D">
      <w:pPr>
        <w:pStyle w:val="NoSpacing"/>
        <w:rPr>
          <w:vanish/>
        </w:rPr>
      </w:pPr>
    </w:p>
    <w:p w14:paraId="6A9436A5" w14:textId="77777777" w:rsidR="00A4199D" w:rsidRDefault="00A4199D">
      <w:pPr>
        <w:pStyle w:val="NoSpacing"/>
        <w:rPr>
          <w:vanish/>
        </w:rPr>
      </w:pPr>
    </w:p>
    <w:p w14:paraId="53014BDB" w14:textId="77777777" w:rsidR="00A4199D" w:rsidRDefault="00A4199D">
      <w:pPr>
        <w:pStyle w:val="NoSpacing"/>
        <w:rPr>
          <w:vanish/>
        </w:rPr>
      </w:pPr>
    </w:p>
    <w:p w14:paraId="73C7EA52" w14:textId="77777777" w:rsidR="00A4199D" w:rsidRDefault="00A4199D">
      <w:pPr>
        <w:pStyle w:val="NoSpacing"/>
        <w:rPr>
          <w:vanish/>
        </w:rPr>
      </w:pPr>
    </w:p>
    <w:p w14:paraId="57753CDB" w14:textId="77777777" w:rsidR="00A4199D" w:rsidRDefault="00A4199D">
      <w:pPr>
        <w:pStyle w:val="NoSpacing"/>
        <w:rPr>
          <w:vanish/>
        </w:rPr>
      </w:pPr>
    </w:p>
    <w:p w14:paraId="47AC7B25" w14:textId="77777777" w:rsidR="00A4199D" w:rsidRDefault="00A4199D">
      <w:pPr>
        <w:pStyle w:val="NoSpacing"/>
        <w:rPr>
          <w:vanish/>
        </w:rPr>
      </w:pPr>
    </w:p>
    <w:p w14:paraId="3EFD0F43" w14:textId="77777777" w:rsidR="00A4199D" w:rsidRDefault="00A4199D">
      <w:pPr>
        <w:pStyle w:val="NoSpacing"/>
        <w:rPr>
          <w:vanish/>
        </w:rPr>
      </w:pPr>
    </w:p>
    <w:p w14:paraId="0D3F487F" w14:textId="77777777" w:rsidR="00A4199D" w:rsidRDefault="00A4199D">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A4199D" w14:paraId="26B918EE" w14:textId="77777777">
        <w:trPr>
          <w:cantSplit/>
        </w:trPr>
        <w:tc>
          <w:tcPr>
            <w:tcW w:w="3009" w:type="pct"/>
          </w:tcPr>
          <w:p w14:paraId="4FCCEABB" w14:textId="77777777" w:rsidR="00A4199D" w:rsidRDefault="00A4199D">
            <w:pPr>
              <w:spacing w:after="0"/>
              <w:rPr>
                <w:b/>
              </w:rPr>
            </w:pPr>
          </w:p>
        </w:tc>
        <w:tc>
          <w:tcPr>
            <w:tcW w:w="992" w:type="pct"/>
          </w:tcPr>
          <w:p w14:paraId="0355E36D" w14:textId="77777777" w:rsidR="00A4199D" w:rsidRDefault="000B6150">
            <w:pPr>
              <w:spacing w:after="0"/>
              <w:jc w:val="center"/>
              <w:rPr>
                <w:b/>
              </w:rPr>
            </w:pPr>
            <w:r>
              <w:rPr>
                <w:b/>
              </w:rPr>
              <w:t>CDBG</w:t>
            </w:r>
          </w:p>
        </w:tc>
        <w:tc>
          <w:tcPr>
            <w:tcW w:w="992" w:type="pct"/>
          </w:tcPr>
          <w:p w14:paraId="110277C2" w14:textId="77777777" w:rsidR="00A4199D" w:rsidRDefault="000B6150">
            <w:pPr>
              <w:spacing w:after="0"/>
              <w:jc w:val="center"/>
              <w:rPr>
                <w:b/>
              </w:rPr>
            </w:pPr>
            <w:r>
              <w:rPr>
                <w:b/>
              </w:rPr>
              <w:t>HOME</w:t>
            </w:r>
          </w:p>
        </w:tc>
      </w:tr>
      <w:tr w:rsidR="00A4199D" w14:paraId="6E4D77FA" w14:textId="77777777">
        <w:trPr>
          <w:cantSplit/>
        </w:trPr>
        <w:tc>
          <w:tcPr>
            <w:tcW w:w="4821" w:type="dxa"/>
            <w:vAlign w:val="bottom"/>
          </w:tcPr>
          <w:p w14:paraId="25FE38EE" w14:textId="77777777" w:rsidR="00A4199D" w:rsidRDefault="000B6150">
            <w:pPr>
              <w:spacing w:beforeAutospacing="1" w:afterAutospacing="1"/>
            </w:pPr>
            <w:r>
              <w:rPr>
                <w:color w:val="000000"/>
              </w:rPr>
              <w:t>White</w:t>
            </w:r>
          </w:p>
        </w:tc>
        <w:tc>
          <w:tcPr>
            <w:tcW w:w="1589" w:type="dxa"/>
            <w:vAlign w:val="bottom"/>
          </w:tcPr>
          <w:p w14:paraId="24DACD77" w14:textId="77777777" w:rsidR="00A4199D" w:rsidRDefault="000B6150">
            <w:pPr>
              <w:spacing w:beforeAutospacing="1" w:afterAutospacing="1"/>
              <w:jc w:val="right"/>
            </w:pPr>
            <w:r>
              <w:rPr>
                <w:color w:val="000000"/>
              </w:rPr>
              <w:t>0</w:t>
            </w:r>
          </w:p>
        </w:tc>
        <w:tc>
          <w:tcPr>
            <w:tcW w:w="1589" w:type="dxa"/>
            <w:vAlign w:val="bottom"/>
          </w:tcPr>
          <w:p w14:paraId="7909213F" w14:textId="77777777" w:rsidR="00A4199D" w:rsidRDefault="000B6150">
            <w:pPr>
              <w:spacing w:beforeAutospacing="1" w:afterAutospacing="1"/>
              <w:jc w:val="right"/>
            </w:pPr>
            <w:r>
              <w:rPr>
                <w:color w:val="000000"/>
              </w:rPr>
              <w:t>25</w:t>
            </w:r>
          </w:p>
        </w:tc>
      </w:tr>
      <w:tr w:rsidR="00A4199D" w14:paraId="27B83747" w14:textId="77777777">
        <w:trPr>
          <w:cantSplit/>
        </w:trPr>
        <w:tc>
          <w:tcPr>
            <w:tcW w:w="4821" w:type="dxa"/>
            <w:vAlign w:val="bottom"/>
          </w:tcPr>
          <w:p w14:paraId="2D00A908" w14:textId="77777777" w:rsidR="00A4199D" w:rsidRDefault="000B6150">
            <w:pPr>
              <w:spacing w:beforeAutospacing="1" w:afterAutospacing="1"/>
            </w:pPr>
            <w:r>
              <w:rPr>
                <w:color w:val="000000"/>
              </w:rPr>
              <w:t>Black or African American</w:t>
            </w:r>
          </w:p>
        </w:tc>
        <w:tc>
          <w:tcPr>
            <w:tcW w:w="1589" w:type="dxa"/>
            <w:vAlign w:val="bottom"/>
          </w:tcPr>
          <w:p w14:paraId="0D617173" w14:textId="77777777" w:rsidR="00A4199D" w:rsidRDefault="000B6150">
            <w:pPr>
              <w:spacing w:beforeAutospacing="1" w:afterAutospacing="1"/>
              <w:jc w:val="right"/>
            </w:pPr>
            <w:r>
              <w:rPr>
                <w:color w:val="000000"/>
              </w:rPr>
              <w:t>0</w:t>
            </w:r>
          </w:p>
        </w:tc>
        <w:tc>
          <w:tcPr>
            <w:tcW w:w="1589" w:type="dxa"/>
            <w:vAlign w:val="bottom"/>
          </w:tcPr>
          <w:p w14:paraId="6E49FE93" w14:textId="77777777" w:rsidR="00A4199D" w:rsidRDefault="000B6150">
            <w:pPr>
              <w:spacing w:beforeAutospacing="1" w:afterAutospacing="1"/>
              <w:jc w:val="right"/>
            </w:pPr>
            <w:r>
              <w:rPr>
                <w:color w:val="000000"/>
              </w:rPr>
              <w:t>2</w:t>
            </w:r>
          </w:p>
        </w:tc>
      </w:tr>
      <w:tr w:rsidR="00A4199D" w14:paraId="09F6A37D" w14:textId="77777777">
        <w:trPr>
          <w:cantSplit/>
        </w:trPr>
        <w:tc>
          <w:tcPr>
            <w:tcW w:w="4821" w:type="dxa"/>
            <w:vAlign w:val="bottom"/>
          </w:tcPr>
          <w:p w14:paraId="612D6B98" w14:textId="77777777" w:rsidR="00A4199D" w:rsidRDefault="000B6150">
            <w:pPr>
              <w:spacing w:beforeAutospacing="1" w:afterAutospacing="1"/>
            </w:pPr>
            <w:r>
              <w:rPr>
                <w:color w:val="000000"/>
              </w:rPr>
              <w:t>Asian</w:t>
            </w:r>
          </w:p>
        </w:tc>
        <w:tc>
          <w:tcPr>
            <w:tcW w:w="1589" w:type="dxa"/>
            <w:vAlign w:val="bottom"/>
          </w:tcPr>
          <w:p w14:paraId="26858707" w14:textId="77777777" w:rsidR="00A4199D" w:rsidRDefault="000B6150">
            <w:pPr>
              <w:spacing w:beforeAutospacing="1" w:afterAutospacing="1"/>
              <w:jc w:val="right"/>
            </w:pPr>
            <w:r>
              <w:rPr>
                <w:color w:val="000000"/>
              </w:rPr>
              <w:t>0</w:t>
            </w:r>
          </w:p>
        </w:tc>
        <w:tc>
          <w:tcPr>
            <w:tcW w:w="1589" w:type="dxa"/>
            <w:vAlign w:val="bottom"/>
          </w:tcPr>
          <w:p w14:paraId="6B99E517" w14:textId="77777777" w:rsidR="00A4199D" w:rsidRDefault="000B6150">
            <w:pPr>
              <w:spacing w:beforeAutospacing="1" w:afterAutospacing="1"/>
              <w:jc w:val="right"/>
            </w:pPr>
            <w:r>
              <w:rPr>
                <w:color w:val="000000"/>
              </w:rPr>
              <w:t>4</w:t>
            </w:r>
          </w:p>
        </w:tc>
      </w:tr>
      <w:tr w:rsidR="00A4199D" w14:paraId="1FD6287C" w14:textId="77777777">
        <w:trPr>
          <w:cantSplit/>
        </w:trPr>
        <w:tc>
          <w:tcPr>
            <w:tcW w:w="4821" w:type="dxa"/>
            <w:vAlign w:val="bottom"/>
          </w:tcPr>
          <w:p w14:paraId="55EA96E6" w14:textId="77777777" w:rsidR="00A4199D" w:rsidRDefault="000B6150">
            <w:pPr>
              <w:spacing w:beforeAutospacing="1" w:afterAutospacing="1"/>
            </w:pPr>
            <w:r>
              <w:rPr>
                <w:color w:val="000000"/>
              </w:rPr>
              <w:t>American Indian or American Native</w:t>
            </w:r>
          </w:p>
        </w:tc>
        <w:tc>
          <w:tcPr>
            <w:tcW w:w="1589" w:type="dxa"/>
            <w:vAlign w:val="bottom"/>
          </w:tcPr>
          <w:p w14:paraId="23ABE101" w14:textId="77777777" w:rsidR="00A4199D" w:rsidRDefault="000B6150">
            <w:pPr>
              <w:spacing w:beforeAutospacing="1" w:afterAutospacing="1"/>
              <w:jc w:val="right"/>
            </w:pPr>
            <w:r>
              <w:rPr>
                <w:color w:val="000000"/>
              </w:rPr>
              <w:t>0</w:t>
            </w:r>
          </w:p>
        </w:tc>
        <w:tc>
          <w:tcPr>
            <w:tcW w:w="1589" w:type="dxa"/>
            <w:vAlign w:val="bottom"/>
          </w:tcPr>
          <w:p w14:paraId="13E3A8FA" w14:textId="77777777" w:rsidR="00A4199D" w:rsidRDefault="000B6150">
            <w:pPr>
              <w:spacing w:beforeAutospacing="1" w:afterAutospacing="1"/>
              <w:jc w:val="right"/>
            </w:pPr>
            <w:r>
              <w:rPr>
                <w:color w:val="000000"/>
              </w:rPr>
              <w:t>1</w:t>
            </w:r>
          </w:p>
        </w:tc>
      </w:tr>
      <w:tr w:rsidR="00A4199D" w14:paraId="77A77D25" w14:textId="77777777">
        <w:trPr>
          <w:cantSplit/>
        </w:trPr>
        <w:tc>
          <w:tcPr>
            <w:tcW w:w="4821" w:type="dxa"/>
            <w:vAlign w:val="bottom"/>
          </w:tcPr>
          <w:p w14:paraId="75DBD038" w14:textId="77777777" w:rsidR="00A4199D" w:rsidRDefault="000B6150">
            <w:pPr>
              <w:spacing w:beforeAutospacing="1" w:afterAutospacing="1"/>
            </w:pPr>
            <w:r>
              <w:rPr>
                <w:color w:val="000000"/>
              </w:rPr>
              <w:t>Native Hawaiian or Other Pacific Islander</w:t>
            </w:r>
          </w:p>
        </w:tc>
        <w:tc>
          <w:tcPr>
            <w:tcW w:w="1589" w:type="dxa"/>
            <w:vAlign w:val="bottom"/>
          </w:tcPr>
          <w:p w14:paraId="0CCFF6DF" w14:textId="77777777" w:rsidR="00A4199D" w:rsidRDefault="000B6150">
            <w:pPr>
              <w:spacing w:beforeAutospacing="1" w:afterAutospacing="1"/>
              <w:jc w:val="right"/>
            </w:pPr>
            <w:r>
              <w:rPr>
                <w:color w:val="000000"/>
              </w:rPr>
              <w:t>0</w:t>
            </w:r>
          </w:p>
        </w:tc>
        <w:tc>
          <w:tcPr>
            <w:tcW w:w="1589" w:type="dxa"/>
            <w:vAlign w:val="bottom"/>
          </w:tcPr>
          <w:p w14:paraId="213E8CAD" w14:textId="77777777" w:rsidR="00A4199D" w:rsidRDefault="000B6150">
            <w:pPr>
              <w:spacing w:beforeAutospacing="1" w:afterAutospacing="1"/>
              <w:jc w:val="right"/>
            </w:pPr>
            <w:r>
              <w:rPr>
                <w:color w:val="000000"/>
              </w:rPr>
              <w:t>0</w:t>
            </w:r>
          </w:p>
        </w:tc>
      </w:tr>
    </w:tbl>
    <w:p w14:paraId="6F78EC66" w14:textId="77777777" w:rsidR="00A4199D" w:rsidRDefault="00A4199D">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A4199D" w14:paraId="44189BE9" w14:textId="77777777">
        <w:trPr>
          <w:cantSplit/>
          <w:hidden/>
        </w:trPr>
        <w:tc>
          <w:tcPr>
            <w:tcW w:w="3009" w:type="pct"/>
          </w:tcPr>
          <w:p w14:paraId="0D11FDEB" w14:textId="77777777" w:rsidR="00A4199D" w:rsidRDefault="00A4199D">
            <w:pPr>
              <w:keepNext/>
              <w:widowControl w:val="0"/>
              <w:spacing w:after="0" w:line="240" w:lineRule="auto"/>
              <w:rPr>
                <w:vanish/>
              </w:rPr>
            </w:pPr>
          </w:p>
        </w:tc>
        <w:tc>
          <w:tcPr>
            <w:tcW w:w="992" w:type="pct"/>
          </w:tcPr>
          <w:p w14:paraId="0646D367" w14:textId="77777777" w:rsidR="00A4199D" w:rsidRDefault="00A4199D">
            <w:pPr>
              <w:keepNext/>
              <w:widowControl w:val="0"/>
              <w:spacing w:after="0" w:line="240" w:lineRule="auto"/>
              <w:jc w:val="center"/>
              <w:rPr>
                <w:b/>
                <w:vanish/>
              </w:rPr>
            </w:pPr>
          </w:p>
        </w:tc>
        <w:tc>
          <w:tcPr>
            <w:tcW w:w="992" w:type="pct"/>
          </w:tcPr>
          <w:p w14:paraId="6628BE47" w14:textId="77777777" w:rsidR="00A4199D" w:rsidRDefault="00A4199D">
            <w:pPr>
              <w:keepNext/>
              <w:widowControl w:val="0"/>
              <w:spacing w:after="0" w:line="240" w:lineRule="auto"/>
              <w:jc w:val="center"/>
              <w:rPr>
                <w:b/>
                <w:vanish/>
              </w:rPr>
            </w:pPr>
          </w:p>
        </w:tc>
      </w:tr>
      <w:tr w:rsidR="00A4199D" w14:paraId="6E216761" w14:textId="77777777">
        <w:trPr>
          <w:cantSplit/>
        </w:trPr>
        <w:tc>
          <w:tcPr>
            <w:tcW w:w="4821" w:type="dxa"/>
            <w:vAlign w:val="bottom"/>
          </w:tcPr>
          <w:p w14:paraId="7F22059E" w14:textId="77777777" w:rsidR="00A4199D" w:rsidRDefault="000B6150">
            <w:pPr>
              <w:spacing w:beforeAutospacing="1" w:afterAutospacing="1"/>
            </w:pPr>
            <w:r>
              <w:rPr>
                <w:b/>
                <w:color w:val="000000"/>
              </w:rPr>
              <w:t>Total</w:t>
            </w:r>
          </w:p>
        </w:tc>
        <w:tc>
          <w:tcPr>
            <w:tcW w:w="1589" w:type="dxa"/>
            <w:vAlign w:val="bottom"/>
          </w:tcPr>
          <w:p w14:paraId="573E85A5" w14:textId="77777777" w:rsidR="00A4199D" w:rsidRDefault="000B6150">
            <w:pPr>
              <w:spacing w:beforeAutospacing="1" w:afterAutospacing="1"/>
              <w:jc w:val="right"/>
            </w:pPr>
            <w:r>
              <w:rPr>
                <w:b/>
                <w:color w:val="000000"/>
              </w:rPr>
              <w:t>0</w:t>
            </w:r>
          </w:p>
        </w:tc>
        <w:tc>
          <w:tcPr>
            <w:tcW w:w="1589" w:type="dxa"/>
            <w:vAlign w:val="bottom"/>
          </w:tcPr>
          <w:p w14:paraId="1499DF8A" w14:textId="77777777" w:rsidR="00A4199D" w:rsidRDefault="000B6150">
            <w:pPr>
              <w:spacing w:beforeAutospacing="1" w:afterAutospacing="1"/>
              <w:jc w:val="right"/>
            </w:pPr>
            <w:r>
              <w:rPr>
                <w:b/>
                <w:color w:val="000000"/>
              </w:rPr>
              <w:t>32</w:t>
            </w:r>
          </w:p>
        </w:tc>
      </w:tr>
    </w:tbl>
    <w:p w14:paraId="1287E190" w14:textId="77777777" w:rsidR="00A4199D" w:rsidRDefault="00A4199D">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A4199D" w14:paraId="5044BC2B" w14:textId="77777777">
        <w:trPr>
          <w:cantSplit/>
          <w:hidden/>
        </w:trPr>
        <w:tc>
          <w:tcPr>
            <w:tcW w:w="3009" w:type="pct"/>
          </w:tcPr>
          <w:p w14:paraId="01E50564" w14:textId="77777777" w:rsidR="00A4199D" w:rsidRDefault="00A4199D">
            <w:pPr>
              <w:keepNext/>
              <w:widowControl w:val="0"/>
              <w:spacing w:after="0" w:line="240" w:lineRule="auto"/>
              <w:rPr>
                <w:vanish/>
              </w:rPr>
            </w:pPr>
          </w:p>
        </w:tc>
        <w:tc>
          <w:tcPr>
            <w:tcW w:w="992" w:type="pct"/>
          </w:tcPr>
          <w:p w14:paraId="4A0C8A05" w14:textId="77777777" w:rsidR="00A4199D" w:rsidRDefault="00A4199D">
            <w:pPr>
              <w:keepNext/>
              <w:widowControl w:val="0"/>
              <w:spacing w:after="0" w:line="240" w:lineRule="auto"/>
              <w:jc w:val="center"/>
              <w:rPr>
                <w:b/>
                <w:vanish/>
              </w:rPr>
            </w:pPr>
          </w:p>
        </w:tc>
        <w:tc>
          <w:tcPr>
            <w:tcW w:w="992" w:type="pct"/>
          </w:tcPr>
          <w:p w14:paraId="5E17C09A" w14:textId="77777777" w:rsidR="00A4199D" w:rsidRDefault="00A4199D">
            <w:pPr>
              <w:keepNext/>
              <w:widowControl w:val="0"/>
              <w:spacing w:after="0" w:line="240" w:lineRule="auto"/>
              <w:jc w:val="center"/>
              <w:rPr>
                <w:b/>
                <w:vanish/>
              </w:rPr>
            </w:pPr>
          </w:p>
        </w:tc>
      </w:tr>
      <w:tr w:rsidR="00A4199D" w14:paraId="38967584" w14:textId="77777777">
        <w:trPr>
          <w:cantSplit/>
        </w:trPr>
        <w:tc>
          <w:tcPr>
            <w:tcW w:w="4821" w:type="dxa"/>
            <w:vAlign w:val="bottom"/>
          </w:tcPr>
          <w:p w14:paraId="77F3B0DC" w14:textId="77777777" w:rsidR="00A4199D" w:rsidRDefault="000B6150">
            <w:pPr>
              <w:spacing w:beforeAutospacing="1" w:afterAutospacing="1"/>
            </w:pPr>
            <w:r>
              <w:rPr>
                <w:color w:val="000000"/>
              </w:rPr>
              <w:t>Hispanic</w:t>
            </w:r>
          </w:p>
        </w:tc>
        <w:tc>
          <w:tcPr>
            <w:tcW w:w="1589" w:type="dxa"/>
            <w:vAlign w:val="bottom"/>
          </w:tcPr>
          <w:p w14:paraId="5AD4CFB2" w14:textId="77777777" w:rsidR="00A4199D" w:rsidRDefault="000B6150">
            <w:pPr>
              <w:spacing w:beforeAutospacing="1" w:afterAutospacing="1"/>
              <w:jc w:val="right"/>
            </w:pPr>
            <w:r>
              <w:rPr>
                <w:color w:val="000000"/>
              </w:rPr>
              <w:t>0</w:t>
            </w:r>
          </w:p>
        </w:tc>
        <w:tc>
          <w:tcPr>
            <w:tcW w:w="1589" w:type="dxa"/>
            <w:vAlign w:val="bottom"/>
          </w:tcPr>
          <w:p w14:paraId="3130CF89" w14:textId="77777777" w:rsidR="00A4199D" w:rsidRDefault="000B6150">
            <w:pPr>
              <w:spacing w:beforeAutospacing="1" w:afterAutospacing="1"/>
              <w:jc w:val="right"/>
            </w:pPr>
            <w:r>
              <w:rPr>
                <w:color w:val="000000"/>
              </w:rPr>
              <w:t>6</w:t>
            </w:r>
          </w:p>
        </w:tc>
      </w:tr>
      <w:tr w:rsidR="00A4199D" w14:paraId="2BD703AB" w14:textId="77777777">
        <w:trPr>
          <w:cantSplit/>
        </w:trPr>
        <w:tc>
          <w:tcPr>
            <w:tcW w:w="4821" w:type="dxa"/>
            <w:vAlign w:val="bottom"/>
          </w:tcPr>
          <w:p w14:paraId="7F270C03" w14:textId="77777777" w:rsidR="00A4199D" w:rsidRDefault="000B6150">
            <w:pPr>
              <w:spacing w:beforeAutospacing="1" w:afterAutospacing="1"/>
            </w:pPr>
            <w:r>
              <w:rPr>
                <w:color w:val="000000"/>
              </w:rPr>
              <w:t>Not Hispanic</w:t>
            </w:r>
          </w:p>
        </w:tc>
        <w:tc>
          <w:tcPr>
            <w:tcW w:w="1589" w:type="dxa"/>
            <w:vAlign w:val="bottom"/>
          </w:tcPr>
          <w:p w14:paraId="1804BEBC" w14:textId="77777777" w:rsidR="00A4199D" w:rsidRDefault="000B6150">
            <w:pPr>
              <w:spacing w:beforeAutospacing="1" w:afterAutospacing="1"/>
              <w:jc w:val="right"/>
            </w:pPr>
            <w:r>
              <w:rPr>
                <w:color w:val="000000"/>
              </w:rPr>
              <w:t>0</w:t>
            </w:r>
          </w:p>
        </w:tc>
        <w:tc>
          <w:tcPr>
            <w:tcW w:w="1589" w:type="dxa"/>
            <w:vAlign w:val="bottom"/>
          </w:tcPr>
          <w:p w14:paraId="0915FEA7" w14:textId="77777777" w:rsidR="00A4199D" w:rsidRDefault="000B6150">
            <w:pPr>
              <w:spacing w:beforeAutospacing="1" w:afterAutospacing="1"/>
              <w:jc w:val="right"/>
            </w:pPr>
            <w:r>
              <w:rPr>
                <w:color w:val="000000"/>
              </w:rPr>
              <w:t>26</w:t>
            </w:r>
          </w:p>
        </w:tc>
      </w:tr>
    </w:tbl>
    <w:p w14:paraId="72B47708" w14:textId="77777777" w:rsidR="00A4199D" w:rsidRDefault="00A4199D">
      <w:pPr>
        <w:pStyle w:val="NoSpacing"/>
        <w:rPr>
          <w:vanish/>
        </w:rPr>
      </w:pPr>
    </w:p>
    <w:p w14:paraId="10476BCA" w14:textId="77777777" w:rsidR="00A4199D" w:rsidRDefault="00A4199D">
      <w:pPr>
        <w:pStyle w:val="NoSpacing"/>
        <w:rPr>
          <w:vanish/>
        </w:rPr>
      </w:pPr>
    </w:p>
    <w:p w14:paraId="1EFEDDDB" w14:textId="77777777" w:rsidR="00A4199D" w:rsidRDefault="00A4199D">
      <w:pPr>
        <w:pStyle w:val="NoSpacing"/>
        <w:rPr>
          <w:vanish/>
        </w:rPr>
      </w:pPr>
    </w:p>
    <w:p w14:paraId="3291DA40" w14:textId="77777777" w:rsidR="00A4199D" w:rsidRDefault="00A4199D">
      <w:pPr>
        <w:pStyle w:val="NoSpacing"/>
        <w:rPr>
          <w:vanish/>
        </w:rPr>
      </w:pPr>
    </w:p>
    <w:p w14:paraId="206E8BDD" w14:textId="77777777" w:rsidR="00A4199D" w:rsidRDefault="00A4199D">
      <w:pPr>
        <w:pStyle w:val="NoSpacing"/>
        <w:rPr>
          <w:vanish/>
        </w:rPr>
      </w:pPr>
    </w:p>
    <w:p w14:paraId="4BF8631E" w14:textId="77777777" w:rsidR="00A4199D" w:rsidRDefault="00A4199D">
      <w:pPr>
        <w:pStyle w:val="NoSpacing"/>
      </w:pPr>
    </w:p>
    <w:p w14:paraId="12FF5AD4" w14:textId="77777777" w:rsidR="00A4199D" w:rsidRDefault="00A4199D">
      <w:pPr>
        <w:pStyle w:val="NoSpacing"/>
        <w:rPr>
          <w:vanish/>
        </w:rPr>
      </w:pPr>
    </w:p>
    <w:p w14:paraId="694C4431" w14:textId="77777777" w:rsidR="00A4199D" w:rsidRDefault="00A4199D">
      <w:pPr>
        <w:pStyle w:val="NoSpacing"/>
        <w:rPr>
          <w:vanish/>
        </w:rPr>
      </w:pPr>
    </w:p>
    <w:p w14:paraId="2DE0E917" w14:textId="77777777" w:rsidR="00A4199D" w:rsidRDefault="00A4199D">
      <w:pPr>
        <w:pStyle w:val="NoSpacing"/>
        <w:rPr>
          <w:vanish/>
        </w:rPr>
      </w:pPr>
    </w:p>
    <w:p w14:paraId="285AD04E" w14:textId="77777777" w:rsidR="00A4199D" w:rsidRDefault="00A4199D">
      <w:pPr>
        <w:pStyle w:val="NoSpacing"/>
        <w:rPr>
          <w:vanish/>
        </w:rPr>
      </w:pPr>
    </w:p>
    <w:p w14:paraId="3EF5F59C" w14:textId="77777777" w:rsidR="00A4199D" w:rsidRDefault="00A4199D">
      <w:pPr>
        <w:pStyle w:val="NoSpacing"/>
        <w:rPr>
          <w:vanish/>
        </w:rPr>
      </w:pPr>
    </w:p>
    <w:p w14:paraId="7CDC4121" w14:textId="77777777" w:rsidR="00A4199D" w:rsidRDefault="00A4199D">
      <w:pPr>
        <w:pStyle w:val="NoSpacing"/>
        <w:rPr>
          <w:vanish/>
        </w:rPr>
      </w:pPr>
    </w:p>
    <w:p w14:paraId="28BB7890" w14:textId="77777777" w:rsidR="00A4199D" w:rsidRDefault="00A4199D">
      <w:pPr>
        <w:pStyle w:val="NoSpacing"/>
        <w:rPr>
          <w:vanish/>
        </w:rPr>
      </w:pPr>
    </w:p>
    <w:p w14:paraId="3B0D039B" w14:textId="77777777" w:rsidR="00A4199D" w:rsidRDefault="00A4199D">
      <w:pPr>
        <w:pStyle w:val="NoSpacing"/>
        <w:rPr>
          <w:vanish/>
        </w:rPr>
      </w:pPr>
    </w:p>
    <w:p w14:paraId="7D501C3C" w14:textId="77777777" w:rsidR="00A4199D" w:rsidRDefault="00A4199D">
      <w:pPr>
        <w:pStyle w:val="NoSpacing"/>
        <w:rPr>
          <w:vanish/>
        </w:rPr>
      </w:pPr>
    </w:p>
    <w:p w14:paraId="05581C37" w14:textId="77777777" w:rsidR="00A4199D" w:rsidRDefault="00A4199D">
      <w:pPr>
        <w:pStyle w:val="NoSpacing"/>
        <w:rPr>
          <w:vanish/>
        </w:rPr>
      </w:pPr>
    </w:p>
    <w:p w14:paraId="203F2B8C" w14:textId="77777777" w:rsidR="00A4199D" w:rsidRDefault="00A4199D">
      <w:pPr>
        <w:keepNext/>
        <w:widowControl w:val="0"/>
        <w:spacing w:after="0" w:line="240" w:lineRule="auto"/>
        <w:rPr>
          <w:b/>
          <w:vanish/>
          <w:sz w:val="24"/>
          <w:szCs w:val="24"/>
        </w:rPr>
      </w:pPr>
    </w:p>
    <w:p w14:paraId="32764ADD" w14:textId="77777777" w:rsidR="00A4199D" w:rsidRDefault="00A4199D">
      <w:pPr>
        <w:pStyle w:val="NoSpacing"/>
        <w:rPr>
          <w:vanish/>
        </w:rPr>
      </w:pPr>
    </w:p>
    <w:p w14:paraId="7F22D22E" w14:textId="77777777" w:rsidR="00A4199D" w:rsidRDefault="00A4199D">
      <w:pPr>
        <w:pStyle w:val="NoSpacing"/>
        <w:rPr>
          <w:vanish/>
        </w:rPr>
      </w:pPr>
    </w:p>
    <w:p w14:paraId="75E61D01" w14:textId="77777777" w:rsidR="00A4199D" w:rsidRDefault="00A4199D">
      <w:pPr>
        <w:pStyle w:val="NoSpacing"/>
        <w:rPr>
          <w:vanish/>
        </w:rPr>
      </w:pPr>
    </w:p>
    <w:p w14:paraId="17F39797" w14:textId="77777777" w:rsidR="00A4199D" w:rsidRDefault="00A4199D">
      <w:pPr>
        <w:pStyle w:val="NoSpacing"/>
        <w:rPr>
          <w:vanish/>
        </w:rPr>
      </w:pPr>
    </w:p>
    <w:p w14:paraId="770B48CE" w14:textId="77777777" w:rsidR="00A4199D" w:rsidRDefault="00A4199D">
      <w:pPr>
        <w:pStyle w:val="NoSpacing"/>
        <w:rPr>
          <w:vanish/>
        </w:rPr>
      </w:pPr>
    </w:p>
    <w:p w14:paraId="06F4F595" w14:textId="77777777" w:rsidR="00A4199D" w:rsidRDefault="00A4199D">
      <w:pPr>
        <w:pStyle w:val="NoSpacing"/>
        <w:rPr>
          <w:vanish/>
        </w:rPr>
      </w:pPr>
    </w:p>
    <w:p w14:paraId="7E7E1A95" w14:textId="77777777" w:rsidR="00A4199D" w:rsidRDefault="00A4199D">
      <w:pPr>
        <w:pStyle w:val="NoSpacing"/>
        <w:rPr>
          <w:vanish/>
        </w:rPr>
      </w:pPr>
    </w:p>
    <w:p w14:paraId="46CED4F1" w14:textId="77777777" w:rsidR="00A4199D" w:rsidRDefault="00A4199D">
      <w:pPr>
        <w:pStyle w:val="NoSpacing"/>
        <w:rPr>
          <w:vanish/>
        </w:rPr>
      </w:pPr>
    </w:p>
    <w:p w14:paraId="07CC037C" w14:textId="77777777" w:rsidR="00A4199D" w:rsidRDefault="00A4199D">
      <w:pPr>
        <w:pStyle w:val="NoSpacing"/>
        <w:rPr>
          <w:vanish/>
        </w:rPr>
      </w:pPr>
    </w:p>
    <w:p w14:paraId="38AE6F09" w14:textId="77777777" w:rsidR="00A4199D" w:rsidRDefault="00A4199D">
      <w:pPr>
        <w:pStyle w:val="NoSpacing"/>
        <w:rPr>
          <w:vanish/>
        </w:rPr>
      </w:pPr>
    </w:p>
    <w:p w14:paraId="16E66E95" w14:textId="77777777" w:rsidR="00A4199D" w:rsidRDefault="00A4199D">
      <w:pPr>
        <w:pStyle w:val="NoSpacing"/>
        <w:rPr>
          <w:vanish/>
        </w:rPr>
      </w:pPr>
    </w:p>
    <w:p w14:paraId="212D1A74" w14:textId="77777777" w:rsidR="00A4199D" w:rsidRDefault="00A4199D">
      <w:pPr>
        <w:pStyle w:val="NoSpacing"/>
        <w:rPr>
          <w:vanish/>
        </w:rPr>
      </w:pPr>
    </w:p>
    <w:p w14:paraId="5A5CA330" w14:textId="77777777" w:rsidR="00A4199D" w:rsidRDefault="00A4199D">
      <w:pPr>
        <w:pStyle w:val="NoSpacing"/>
        <w:rPr>
          <w:vanish/>
        </w:rPr>
      </w:pPr>
    </w:p>
    <w:p w14:paraId="2EED5A7B" w14:textId="77777777" w:rsidR="00A4199D" w:rsidRDefault="00A4199D">
      <w:pPr>
        <w:pStyle w:val="NoSpacing"/>
        <w:rPr>
          <w:vanish/>
        </w:rPr>
      </w:pPr>
    </w:p>
    <w:p w14:paraId="62B4E5B1" w14:textId="77777777" w:rsidR="00A4199D" w:rsidRDefault="00A4199D">
      <w:pPr>
        <w:pStyle w:val="NoSpacing"/>
        <w:rPr>
          <w:vanish/>
        </w:rPr>
      </w:pPr>
    </w:p>
    <w:p w14:paraId="50DC9C4E" w14:textId="77777777" w:rsidR="00A4199D" w:rsidRDefault="00A4199D">
      <w:pPr>
        <w:pStyle w:val="NoSpacing"/>
        <w:rPr>
          <w:vanish/>
        </w:rPr>
      </w:pPr>
    </w:p>
    <w:p w14:paraId="3A65307B" w14:textId="77777777" w:rsidR="00A4199D" w:rsidRDefault="00A4199D">
      <w:pPr>
        <w:pStyle w:val="NoSpacing"/>
        <w:rPr>
          <w:vanish/>
        </w:rPr>
      </w:pPr>
    </w:p>
    <w:p w14:paraId="5701B7D9" w14:textId="77777777" w:rsidR="00A4199D" w:rsidRDefault="00A4199D">
      <w:pPr>
        <w:pStyle w:val="NoSpacing"/>
        <w:rPr>
          <w:vanish/>
        </w:rPr>
      </w:pPr>
    </w:p>
    <w:p w14:paraId="77F6DF83" w14:textId="77777777" w:rsidR="00A4199D" w:rsidRDefault="00A4199D">
      <w:pPr>
        <w:pStyle w:val="NoSpacing"/>
        <w:rPr>
          <w:vanish/>
        </w:rPr>
      </w:pPr>
    </w:p>
    <w:p w14:paraId="54E9A311" w14:textId="77777777" w:rsidR="00A4199D" w:rsidRDefault="00A4199D">
      <w:pPr>
        <w:pStyle w:val="NoSpacing"/>
        <w:rPr>
          <w:vanish/>
        </w:rPr>
      </w:pPr>
    </w:p>
    <w:p w14:paraId="2221B465" w14:textId="77777777" w:rsidR="00A4199D" w:rsidRDefault="00A4199D">
      <w:pPr>
        <w:pStyle w:val="NoSpacing"/>
        <w:rPr>
          <w:vanish/>
        </w:rPr>
      </w:pPr>
    </w:p>
    <w:p w14:paraId="02124BC8" w14:textId="77777777" w:rsidR="00A4199D" w:rsidRDefault="00A4199D">
      <w:pPr>
        <w:pStyle w:val="NoSpacing"/>
        <w:rPr>
          <w:vanish/>
        </w:rPr>
      </w:pPr>
    </w:p>
    <w:p w14:paraId="12F1D6E8" w14:textId="77777777" w:rsidR="00A4199D" w:rsidRDefault="00A4199D">
      <w:pPr>
        <w:pStyle w:val="NoSpacing"/>
        <w:rPr>
          <w:vanish/>
        </w:rPr>
      </w:pPr>
    </w:p>
    <w:p w14:paraId="62CE2BF1" w14:textId="77777777" w:rsidR="00A4199D" w:rsidRDefault="00A4199D">
      <w:pPr>
        <w:keepNext/>
        <w:widowControl w:val="0"/>
        <w:rPr>
          <w:rFonts w:asciiTheme="minorHAnsi" w:hAnsiTheme="minorHAnsi"/>
          <w:b/>
          <w:sz w:val="20"/>
          <w:szCs w:val="20"/>
        </w:rPr>
      </w:pPr>
    </w:p>
    <w:p w14:paraId="1A78AD18" w14:textId="77777777" w:rsidR="00A4199D" w:rsidRDefault="00A4199D">
      <w:pPr>
        <w:keepNext/>
        <w:widowControl w:val="0"/>
        <w:rPr>
          <w:rFonts w:asciiTheme="minorHAnsi" w:hAnsiTheme="minorHAnsi"/>
          <w:b/>
          <w:sz w:val="20"/>
          <w:szCs w:val="20"/>
        </w:rPr>
      </w:pPr>
    </w:p>
    <w:p w14:paraId="229544D1" w14:textId="77777777" w:rsidR="00A4199D" w:rsidRDefault="000B6150">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14:paraId="537DCA42" w14:textId="77777777" w:rsidR="00A4199D" w:rsidRDefault="00A4199D">
      <w:pPr>
        <w:widowControl w:val="0"/>
        <w:rPr>
          <w:b/>
          <w:sz w:val="24"/>
          <w:szCs w:val="24"/>
        </w:rPr>
      </w:pPr>
    </w:p>
    <w:p w14:paraId="1BC538FE" w14:textId="77777777" w:rsidR="00A4199D" w:rsidRDefault="000B6150">
      <w:pPr>
        <w:widowControl w:val="0"/>
        <w:rPr>
          <w:b/>
          <w:sz w:val="24"/>
          <w:szCs w:val="24"/>
        </w:rPr>
      </w:pPr>
      <w:r>
        <w:rPr>
          <w:b/>
          <w:sz w:val="24"/>
          <w:szCs w:val="24"/>
        </w:rPr>
        <w:t>Narrative</w:t>
      </w:r>
    </w:p>
    <w:p w14:paraId="78283B24" w14:textId="77777777" w:rsidR="00A4199D" w:rsidRDefault="000B6150">
      <w:pPr>
        <w:widowControl w:val="0"/>
        <w:spacing w:beforeAutospacing="1" w:afterAutospacing="1"/>
      </w:pPr>
      <w:r>
        <w:t>The Consortium served 32 households with TBRA during Program Year 2023, with the households consisting of 89 individuals. See the attached table for the race and ethnicity of those served. There are some beneficiaries that identify as multi-racial or other race categories, so we have uploaded a separate table showing the additional categories. The table provided in IDIS does not have a category for other or multi-racial, which accounts for the differences in the totals between the tables.  During Program Ye</w:t>
      </w:r>
      <w:r>
        <w:t>ar 2023 the Consortium served 3 households that identify as multi racial.  See attached table for additional information.</w:t>
      </w:r>
    </w:p>
    <w:p w14:paraId="3A71D03C" w14:textId="77777777" w:rsidR="00A4199D" w:rsidRDefault="00A4199D">
      <w:pPr>
        <w:widowControl w:val="0"/>
        <w:spacing w:beforeAutospacing="1" w:afterAutospacing="1"/>
      </w:pPr>
    </w:p>
    <w:p w14:paraId="3B4E66E3" w14:textId="77777777" w:rsidR="00A4199D" w:rsidRDefault="000B6150">
      <w:pPr>
        <w:widowControl w:val="0"/>
        <w:spacing w:beforeAutospacing="1" w:afterAutospacing="1"/>
      </w:pPr>
      <w:r>
        <w:t>According to 2022 US Census estimates, across the Consortium Region (not including the City of Bellingham) 14% of the population identifies as Hispanic, and 76% identifies as white alone and non-Hispanic. 87% of the population identifies as white, 2.2% identifies as Black/African American, 3.8% identifies as Asian, 1.9% identifies as American Indian/American Native, 0.4% identifies as Native Hawaiian/Other Pacific Islander, and 4.2% identify as 2 or more races.</w:t>
      </w:r>
    </w:p>
    <w:p w14:paraId="49CDEB2E" w14:textId="77777777" w:rsidR="00A4199D" w:rsidRDefault="000B6150">
      <w:pPr>
        <w:widowControl w:val="0"/>
        <w:spacing w:beforeAutospacing="1" w:afterAutospacing="1"/>
      </w:pPr>
      <w:r>
        <w:t>Of the households served with HOME TBRA, 81% identified as white, 6% identified as Black/African American, 3% identified as American Indian/American Native, and 9% identified as Other/Multi-Racial. Of the households served with HOME TBRA, 19% identified as Hispanic and 81% identified as non-</w:t>
      </w:r>
      <w:r>
        <w:lastRenderedPageBreak/>
        <w:t>Hispanic. Based on the data for households served, it appears that the program is reaching diverse communities within the region.</w:t>
      </w:r>
    </w:p>
    <w:p w14:paraId="7BC41FF2" w14:textId="77777777" w:rsidR="00A4199D" w:rsidRDefault="000B6150">
      <w:pPr>
        <w:widowControl w:val="0"/>
        <w:spacing w:beforeAutospacing="1" w:afterAutospacing="1"/>
      </w:pPr>
      <w:r>
        <w:t> </w:t>
      </w:r>
    </w:p>
    <w:p w14:paraId="2E0A77C2" w14:textId="77777777" w:rsidR="00A4199D" w:rsidRDefault="000B6150">
      <w:pPr>
        <w:widowControl w:val="0"/>
        <w:spacing w:beforeAutospacing="1" w:afterAutospacing="1"/>
      </w:pPr>
      <w:r>
        <w:t xml:space="preserve">The Consortium will continue to track this data over time to determine if additional affirmative outreach is needed to ensure HOME funds are utilized </w:t>
      </w:r>
      <w:proofErr w:type="gramStart"/>
      <w:r>
        <w:t>equitable</w:t>
      </w:r>
      <w:proofErr w:type="gramEnd"/>
      <w:r>
        <w:t xml:space="preserve"> across racial and ethnic groups. The Consortium will continue to strengthen partnerships with by and for agencies and other culturally specific community-based organizations so that service improvement to marginalized communities can better serve individual needs.</w:t>
      </w:r>
    </w:p>
    <w:p w14:paraId="62A1163B" w14:textId="77777777" w:rsidR="00A4199D" w:rsidRDefault="00A4199D">
      <w:pPr>
        <w:widowControl w:val="0"/>
      </w:pPr>
    </w:p>
    <w:p w14:paraId="58DEBD95" w14:textId="77777777" w:rsidR="00A4199D" w:rsidRDefault="00A4199D">
      <w:pPr>
        <w:sectPr w:rsidR="00A4199D">
          <w:pgSz w:w="12240" w:h="15840" w:code="1"/>
          <w:pgMar w:top="1440" w:right="1440" w:bottom="1440" w:left="1440" w:header="720" w:footer="720" w:gutter="0"/>
          <w:cols w:space="720"/>
          <w:docGrid w:linePitch="360"/>
        </w:sectPr>
      </w:pPr>
    </w:p>
    <w:bookmarkEnd w:id="0"/>
    <w:p w14:paraId="741BE966" w14:textId="77777777" w:rsidR="00A4199D" w:rsidRDefault="000B6150">
      <w:pPr>
        <w:pStyle w:val="Heading2"/>
        <w:rPr>
          <w:rFonts w:ascii="Calibri" w:hAnsi="Calibri"/>
          <w:i w:val="0"/>
        </w:rPr>
      </w:pPr>
      <w:r>
        <w:rPr>
          <w:rFonts w:ascii="Calibri" w:hAnsi="Calibri"/>
          <w:i w:val="0"/>
        </w:rPr>
        <w:lastRenderedPageBreak/>
        <w:t>CR-15 - Resources and Investments 91.520(a)</w:t>
      </w:r>
    </w:p>
    <w:p w14:paraId="6DD5D9F3" w14:textId="77777777" w:rsidR="00A4199D" w:rsidRDefault="000B6150">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331"/>
        <w:gridCol w:w="2343"/>
        <w:gridCol w:w="2342"/>
      </w:tblGrid>
      <w:tr w:rsidR="00A4199D" w14:paraId="39497CAA" w14:textId="77777777">
        <w:trPr>
          <w:cantSplit/>
        </w:trPr>
        <w:tc>
          <w:tcPr>
            <w:tcW w:w="2394" w:type="dxa"/>
          </w:tcPr>
          <w:p w14:paraId="40172EB2" w14:textId="77777777" w:rsidR="00A4199D" w:rsidRDefault="000B6150">
            <w:pPr>
              <w:keepNext/>
              <w:widowControl w:val="0"/>
              <w:spacing w:after="0" w:line="240" w:lineRule="auto"/>
              <w:jc w:val="center"/>
              <w:rPr>
                <w:rFonts w:cs="Arial"/>
                <w:b/>
              </w:rPr>
            </w:pPr>
            <w:r>
              <w:rPr>
                <w:rFonts w:cs="Arial"/>
                <w:b/>
              </w:rPr>
              <w:t>Source of Funds</w:t>
            </w:r>
          </w:p>
        </w:tc>
        <w:tc>
          <w:tcPr>
            <w:tcW w:w="2394" w:type="dxa"/>
          </w:tcPr>
          <w:p w14:paraId="54674066" w14:textId="77777777" w:rsidR="00A4199D" w:rsidRDefault="000B6150">
            <w:pPr>
              <w:keepNext/>
              <w:widowControl w:val="0"/>
              <w:spacing w:after="0" w:line="240" w:lineRule="auto"/>
              <w:jc w:val="center"/>
              <w:rPr>
                <w:rFonts w:cs="Arial"/>
                <w:b/>
              </w:rPr>
            </w:pPr>
            <w:r>
              <w:rPr>
                <w:rFonts w:cs="Arial"/>
                <w:b/>
              </w:rPr>
              <w:t>Source</w:t>
            </w:r>
          </w:p>
        </w:tc>
        <w:tc>
          <w:tcPr>
            <w:tcW w:w="2394" w:type="dxa"/>
          </w:tcPr>
          <w:p w14:paraId="181E6BD0" w14:textId="77777777" w:rsidR="00A4199D" w:rsidRDefault="000B6150">
            <w:pPr>
              <w:keepNext/>
              <w:spacing w:after="0" w:line="240" w:lineRule="auto"/>
              <w:jc w:val="center"/>
              <w:rPr>
                <w:rFonts w:cs="Arial"/>
                <w:b/>
              </w:rPr>
            </w:pPr>
            <w:r>
              <w:rPr>
                <w:rFonts w:cs="Arial"/>
                <w:b/>
              </w:rPr>
              <w:t>Resources Made Available</w:t>
            </w:r>
          </w:p>
        </w:tc>
        <w:tc>
          <w:tcPr>
            <w:tcW w:w="2394" w:type="dxa"/>
          </w:tcPr>
          <w:p w14:paraId="621ACD79" w14:textId="77777777" w:rsidR="00A4199D" w:rsidRDefault="000B6150">
            <w:pPr>
              <w:keepNext/>
              <w:widowControl w:val="0"/>
              <w:spacing w:after="0" w:line="240" w:lineRule="auto"/>
              <w:jc w:val="center"/>
              <w:rPr>
                <w:rFonts w:cs="Arial"/>
                <w:b/>
              </w:rPr>
            </w:pPr>
            <w:r>
              <w:rPr>
                <w:rFonts w:cs="Arial"/>
                <w:b/>
              </w:rPr>
              <w:t>Amount Expended During Program Year</w:t>
            </w:r>
          </w:p>
        </w:tc>
      </w:tr>
      <w:tr w:rsidR="00A4199D" w14:paraId="38BC570B" w14:textId="77777777">
        <w:trPr>
          <w:cantSplit/>
        </w:trPr>
        <w:tc>
          <w:tcPr>
            <w:tcW w:w="0" w:type="auto"/>
            <w:vAlign w:val="bottom"/>
          </w:tcPr>
          <w:p w14:paraId="53405A33" w14:textId="77777777" w:rsidR="00A4199D" w:rsidRDefault="000B6150">
            <w:pPr>
              <w:spacing w:beforeAutospacing="1" w:afterAutospacing="1"/>
            </w:pPr>
            <w:r>
              <w:rPr>
                <w:color w:val="000000"/>
              </w:rPr>
              <w:t>CDBG</w:t>
            </w:r>
          </w:p>
        </w:tc>
        <w:tc>
          <w:tcPr>
            <w:tcW w:w="0" w:type="auto"/>
            <w:vAlign w:val="bottom"/>
          </w:tcPr>
          <w:p w14:paraId="66D14B90" w14:textId="77777777" w:rsidR="00A4199D" w:rsidRDefault="000B6150">
            <w:pPr>
              <w:spacing w:beforeAutospacing="1" w:afterAutospacing="1"/>
            </w:pPr>
            <w:r>
              <w:rPr>
                <w:color w:val="000000"/>
              </w:rPr>
              <w:t>public - federal</w:t>
            </w:r>
          </w:p>
        </w:tc>
        <w:tc>
          <w:tcPr>
            <w:tcW w:w="0" w:type="auto"/>
            <w:vAlign w:val="bottom"/>
          </w:tcPr>
          <w:p w14:paraId="064CC8E1" w14:textId="77777777" w:rsidR="00A4199D" w:rsidRDefault="000B6150">
            <w:pPr>
              <w:spacing w:beforeAutospacing="1" w:afterAutospacing="1"/>
              <w:jc w:val="right"/>
            </w:pPr>
            <w:r>
              <w:rPr>
                <w:color w:val="000000"/>
              </w:rPr>
              <w:t>0</w:t>
            </w:r>
          </w:p>
        </w:tc>
        <w:tc>
          <w:tcPr>
            <w:tcW w:w="0" w:type="auto"/>
            <w:vAlign w:val="bottom"/>
          </w:tcPr>
          <w:p w14:paraId="4AC312FD" w14:textId="77777777" w:rsidR="00A4199D" w:rsidRDefault="000B6150">
            <w:pPr>
              <w:spacing w:beforeAutospacing="1" w:afterAutospacing="1"/>
              <w:jc w:val="right"/>
            </w:pPr>
            <w:r>
              <w:rPr>
                <w:color w:val="000000"/>
              </w:rPr>
              <w:t xml:space="preserve"> </w:t>
            </w:r>
          </w:p>
        </w:tc>
      </w:tr>
      <w:tr w:rsidR="00A4199D" w14:paraId="56D15827" w14:textId="77777777">
        <w:trPr>
          <w:cantSplit/>
        </w:trPr>
        <w:tc>
          <w:tcPr>
            <w:tcW w:w="0" w:type="auto"/>
            <w:vAlign w:val="bottom"/>
          </w:tcPr>
          <w:p w14:paraId="2C640063" w14:textId="77777777" w:rsidR="00A4199D" w:rsidRDefault="000B6150">
            <w:pPr>
              <w:spacing w:beforeAutospacing="1" w:afterAutospacing="1"/>
            </w:pPr>
            <w:r>
              <w:rPr>
                <w:color w:val="000000"/>
              </w:rPr>
              <w:t>HOME</w:t>
            </w:r>
          </w:p>
        </w:tc>
        <w:tc>
          <w:tcPr>
            <w:tcW w:w="0" w:type="auto"/>
            <w:vAlign w:val="bottom"/>
          </w:tcPr>
          <w:p w14:paraId="136FA312" w14:textId="77777777" w:rsidR="00A4199D" w:rsidRDefault="000B6150">
            <w:pPr>
              <w:spacing w:beforeAutospacing="1" w:afterAutospacing="1"/>
            </w:pPr>
            <w:r>
              <w:rPr>
                <w:color w:val="000000"/>
              </w:rPr>
              <w:t>public - federal</w:t>
            </w:r>
          </w:p>
        </w:tc>
        <w:tc>
          <w:tcPr>
            <w:tcW w:w="0" w:type="auto"/>
            <w:vAlign w:val="bottom"/>
          </w:tcPr>
          <w:p w14:paraId="3CCF997E" w14:textId="77777777" w:rsidR="00A4199D" w:rsidRDefault="000B6150">
            <w:pPr>
              <w:spacing w:beforeAutospacing="1" w:afterAutospacing="1"/>
              <w:jc w:val="right"/>
            </w:pPr>
            <w:r>
              <w:rPr>
                <w:color w:val="000000"/>
              </w:rPr>
              <w:t>1,001,160</w:t>
            </w:r>
          </w:p>
        </w:tc>
        <w:tc>
          <w:tcPr>
            <w:tcW w:w="0" w:type="auto"/>
            <w:vAlign w:val="bottom"/>
          </w:tcPr>
          <w:p w14:paraId="03405A35" w14:textId="77777777" w:rsidR="00A4199D" w:rsidRDefault="000B6150">
            <w:pPr>
              <w:spacing w:beforeAutospacing="1" w:afterAutospacing="1"/>
              <w:jc w:val="right"/>
            </w:pPr>
            <w:r>
              <w:rPr>
                <w:color w:val="000000"/>
              </w:rPr>
              <w:t>537,250</w:t>
            </w:r>
          </w:p>
        </w:tc>
      </w:tr>
      <w:tr w:rsidR="00A4199D" w14:paraId="3B0FB999" w14:textId="77777777">
        <w:trPr>
          <w:cantSplit/>
        </w:trPr>
        <w:tc>
          <w:tcPr>
            <w:tcW w:w="0" w:type="auto"/>
            <w:vAlign w:val="bottom"/>
          </w:tcPr>
          <w:p w14:paraId="382FB327" w14:textId="77777777" w:rsidR="00A4199D" w:rsidRDefault="000B6150">
            <w:pPr>
              <w:spacing w:beforeAutospacing="1" w:afterAutospacing="1"/>
            </w:pPr>
            <w:r>
              <w:rPr>
                <w:color w:val="000000"/>
              </w:rPr>
              <w:t>Housing Trust Fund</w:t>
            </w:r>
          </w:p>
        </w:tc>
        <w:tc>
          <w:tcPr>
            <w:tcW w:w="0" w:type="auto"/>
            <w:vAlign w:val="bottom"/>
          </w:tcPr>
          <w:p w14:paraId="18F8A7A0" w14:textId="77777777" w:rsidR="00A4199D" w:rsidRDefault="000B6150">
            <w:pPr>
              <w:spacing w:beforeAutospacing="1" w:afterAutospacing="1"/>
            </w:pPr>
            <w:r>
              <w:rPr>
                <w:color w:val="000000"/>
              </w:rPr>
              <w:t>public - state</w:t>
            </w:r>
          </w:p>
        </w:tc>
        <w:tc>
          <w:tcPr>
            <w:tcW w:w="0" w:type="auto"/>
            <w:vAlign w:val="bottom"/>
          </w:tcPr>
          <w:p w14:paraId="16437168" w14:textId="77777777" w:rsidR="00A4199D" w:rsidRDefault="000B6150">
            <w:pPr>
              <w:spacing w:beforeAutospacing="1" w:afterAutospacing="1"/>
              <w:jc w:val="right"/>
            </w:pPr>
            <w:r>
              <w:rPr>
                <w:color w:val="000000"/>
              </w:rPr>
              <w:t>375,000</w:t>
            </w:r>
          </w:p>
        </w:tc>
        <w:tc>
          <w:tcPr>
            <w:tcW w:w="0" w:type="auto"/>
            <w:vAlign w:val="bottom"/>
          </w:tcPr>
          <w:p w14:paraId="346252D0" w14:textId="77777777" w:rsidR="00A4199D" w:rsidRDefault="000B6150">
            <w:pPr>
              <w:spacing w:beforeAutospacing="1" w:afterAutospacing="1"/>
              <w:jc w:val="right"/>
            </w:pPr>
            <w:r>
              <w:rPr>
                <w:color w:val="000000"/>
              </w:rPr>
              <w:t>375,000</w:t>
            </w:r>
          </w:p>
        </w:tc>
      </w:tr>
      <w:tr w:rsidR="00A4199D" w14:paraId="7A128D95" w14:textId="77777777">
        <w:trPr>
          <w:cantSplit/>
        </w:trPr>
        <w:tc>
          <w:tcPr>
            <w:tcW w:w="0" w:type="auto"/>
            <w:vAlign w:val="bottom"/>
          </w:tcPr>
          <w:p w14:paraId="654FF9B9" w14:textId="77777777" w:rsidR="00A4199D" w:rsidRDefault="000B6150">
            <w:pPr>
              <w:spacing w:beforeAutospacing="1" w:afterAutospacing="1"/>
            </w:pPr>
            <w:r>
              <w:rPr>
                <w:color w:val="000000"/>
              </w:rPr>
              <w:t>Other</w:t>
            </w:r>
          </w:p>
        </w:tc>
        <w:tc>
          <w:tcPr>
            <w:tcW w:w="0" w:type="auto"/>
            <w:vAlign w:val="bottom"/>
          </w:tcPr>
          <w:p w14:paraId="482C1190" w14:textId="77777777" w:rsidR="00A4199D" w:rsidRDefault="000B6150">
            <w:pPr>
              <w:spacing w:beforeAutospacing="1" w:afterAutospacing="1"/>
            </w:pPr>
            <w:r>
              <w:rPr>
                <w:color w:val="000000"/>
              </w:rPr>
              <w:t>public - local</w:t>
            </w:r>
          </w:p>
        </w:tc>
        <w:tc>
          <w:tcPr>
            <w:tcW w:w="0" w:type="auto"/>
            <w:vAlign w:val="bottom"/>
          </w:tcPr>
          <w:p w14:paraId="5DAA959B" w14:textId="77777777" w:rsidR="00A4199D" w:rsidRDefault="000B6150">
            <w:pPr>
              <w:spacing w:beforeAutospacing="1" w:afterAutospacing="1"/>
              <w:jc w:val="right"/>
            </w:pPr>
            <w:r>
              <w:rPr>
                <w:color w:val="000000"/>
              </w:rPr>
              <w:t>250,290</w:t>
            </w:r>
          </w:p>
        </w:tc>
        <w:tc>
          <w:tcPr>
            <w:tcW w:w="0" w:type="auto"/>
            <w:vAlign w:val="bottom"/>
          </w:tcPr>
          <w:p w14:paraId="743A4268" w14:textId="77777777" w:rsidR="00A4199D" w:rsidRDefault="000B6150">
            <w:pPr>
              <w:spacing w:beforeAutospacing="1" w:afterAutospacing="1"/>
              <w:jc w:val="right"/>
            </w:pPr>
            <w:r>
              <w:rPr>
                <w:color w:val="000000"/>
              </w:rPr>
              <w:t>0</w:t>
            </w:r>
          </w:p>
        </w:tc>
      </w:tr>
    </w:tbl>
    <w:p w14:paraId="34CE8C6F"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14:paraId="72EE492D" w14:textId="77777777" w:rsidR="00A4199D" w:rsidRDefault="00A4199D">
      <w:pPr>
        <w:spacing w:after="0" w:line="240" w:lineRule="auto"/>
        <w:rPr>
          <w:b/>
          <w:sz w:val="24"/>
          <w:szCs w:val="24"/>
        </w:rPr>
      </w:pPr>
    </w:p>
    <w:p w14:paraId="3A7A2ECC" w14:textId="77777777" w:rsidR="00A4199D" w:rsidRDefault="000B6150">
      <w:pPr>
        <w:spacing w:after="0" w:line="240" w:lineRule="auto"/>
        <w:rPr>
          <w:b/>
          <w:sz w:val="24"/>
          <w:szCs w:val="24"/>
        </w:rPr>
      </w:pPr>
      <w:r>
        <w:rPr>
          <w:b/>
          <w:sz w:val="24"/>
          <w:szCs w:val="24"/>
        </w:rPr>
        <w:t>Narrative</w:t>
      </w:r>
    </w:p>
    <w:p w14:paraId="7C620DDD" w14:textId="77777777" w:rsidR="00A4199D" w:rsidRDefault="000B6150">
      <w:pPr>
        <w:spacing w:beforeAutospacing="1" w:afterAutospacing="1"/>
        <w:rPr>
          <w:rFonts w:cs="Arial"/>
        </w:rPr>
      </w:pPr>
      <w:r>
        <w:rPr>
          <w:rFonts w:cs="Arial"/>
        </w:rPr>
        <w:t>Consortium Region: Admin and Planning 16% </w:t>
      </w:r>
    </w:p>
    <w:p w14:paraId="58BADB9B" w14:textId="77777777" w:rsidR="00A4199D" w:rsidRDefault="000B6150">
      <w:pPr>
        <w:spacing w:beforeAutospacing="1" w:afterAutospacing="1"/>
        <w:rPr>
          <w:rFonts w:cs="Arial"/>
        </w:rPr>
      </w:pPr>
      <w:r>
        <w:rPr>
          <w:rFonts w:cs="Arial"/>
        </w:rPr>
        <w:t>Island County: TBRA 24%</w:t>
      </w:r>
    </w:p>
    <w:p w14:paraId="1387C11F" w14:textId="77777777" w:rsidR="00A4199D" w:rsidRDefault="000B6150">
      <w:pPr>
        <w:spacing w:beforeAutospacing="1" w:afterAutospacing="1"/>
        <w:rPr>
          <w:rFonts w:cs="Arial"/>
        </w:rPr>
      </w:pPr>
      <w:r>
        <w:rPr>
          <w:rFonts w:cs="Arial"/>
        </w:rPr>
        <w:t>Skagit County: TBRA 32%</w:t>
      </w:r>
    </w:p>
    <w:p w14:paraId="5A0886BF" w14:textId="77777777" w:rsidR="00A4199D" w:rsidRDefault="000B6150">
      <w:pPr>
        <w:spacing w:beforeAutospacing="1" w:afterAutospacing="1"/>
        <w:rPr>
          <w:rFonts w:cs="Arial"/>
        </w:rPr>
      </w:pPr>
      <w:r>
        <w:rPr>
          <w:rFonts w:cs="Arial"/>
        </w:rPr>
        <w:t>Whatcom County: TBRA 28%</w:t>
      </w:r>
    </w:p>
    <w:p w14:paraId="142627FA" w14:textId="77777777" w:rsidR="00A4199D" w:rsidRDefault="00A4199D">
      <w:pPr>
        <w:spacing w:after="0" w:line="240" w:lineRule="auto"/>
        <w:rPr>
          <w:b/>
          <w:sz w:val="24"/>
          <w:szCs w:val="24"/>
        </w:rPr>
      </w:pPr>
    </w:p>
    <w:p w14:paraId="16D86C74" w14:textId="77777777" w:rsidR="00A4199D" w:rsidRDefault="000B6150">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7"/>
        <w:gridCol w:w="2337"/>
        <w:gridCol w:w="2338"/>
      </w:tblGrid>
      <w:tr w:rsidR="00A4199D" w14:paraId="0B5D7E75" w14:textId="77777777">
        <w:trPr>
          <w:cantSplit/>
        </w:trPr>
        <w:tc>
          <w:tcPr>
            <w:tcW w:w="2394" w:type="dxa"/>
          </w:tcPr>
          <w:p w14:paraId="07C54E53" w14:textId="77777777" w:rsidR="00A4199D" w:rsidRDefault="000B6150">
            <w:pPr>
              <w:keepNext/>
              <w:widowControl w:val="0"/>
              <w:spacing w:after="0" w:line="240" w:lineRule="auto"/>
              <w:jc w:val="center"/>
              <w:rPr>
                <w:rFonts w:cs="Arial"/>
                <w:b/>
              </w:rPr>
            </w:pPr>
            <w:r>
              <w:rPr>
                <w:rFonts w:cs="Arial"/>
                <w:b/>
              </w:rPr>
              <w:t>Target Area</w:t>
            </w:r>
          </w:p>
        </w:tc>
        <w:tc>
          <w:tcPr>
            <w:tcW w:w="2394" w:type="dxa"/>
          </w:tcPr>
          <w:p w14:paraId="375A71C3" w14:textId="77777777" w:rsidR="00A4199D" w:rsidRDefault="000B6150">
            <w:pPr>
              <w:keepNext/>
              <w:widowControl w:val="0"/>
              <w:spacing w:after="0" w:line="240" w:lineRule="auto"/>
              <w:jc w:val="center"/>
              <w:rPr>
                <w:rFonts w:cs="Arial"/>
                <w:b/>
              </w:rPr>
            </w:pPr>
            <w:r>
              <w:rPr>
                <w:rFonts w:cs="Arial"/>
                <w:b/>
              </w:rPr>
              <w:t>Planned Percentage of Allocation</w:t>
            </w:r>
          </w:p>
        </w:tc>
        <w:tc>
          <w:tcPr>
            <w:tcW w:w="2394" w:type="dxa"/>
          </w:tcPr>
          <w:p w14:paraId="23CB14BE" w14:textId="77777777" w:rsidR="00A4199D" w:rsidRDefault="000B6150">
            <w:pPr>
              <w:keepNext/>
              <w:spacing w:after="0" w:line="240" w:lineRule="auto"/>
              <w:jc w:val="center"/>
              <w:rPr>
                <w:rFonts w:cs="Arial"/>
                <w:b/>
              </w:rPr>
            </w:pPr>
            <w:r>
              <w:rPr>
                <w:rFonts w:cs="Arial"/>
                <w:b/>
              </w:rPr>
              <w:t>Actual Percentage of Allocation</w:t>
            </w:r>
          </w:p>
        </w:tc>
        <w:tc>
          <w:tcPr>
            <w:tcW w:w="2394" w:type="dxa"/>
          </w:tcPr>
          <w:p w14:paraId="40E77AC4" w14:textId="77777777" w:rsidR="00A4199D" w:rsidRDefault="000B6150">
            <w:pPr>
              <w:keepNext/>
              <w:widowControl w:val="0"/>
              <w:spacing w:after="0" w:line="240" w:lineRule="auto"/>
              <w:jc w:val="center"/>
              <w:rPr>
                <w:rFonts w:cs="Arial"/>
                <w:b/>
              </w:rPr>
            </w:pPr>
            <w:r>
              <w:rPr>
                <w:rFonts w:cs="Arial"/>
                <w:b/>
              </w:rPr>
              <w:t>Narrative Description</w:t>
            </w:r>
          </w:p>
        </w:tc>
      </w:tr>
      <w:tr w:rsidR="00A4199D" w14:paraId="5E6FD9E8" w14:textId="77777777">
        <w:trPr>
          <w:cantSplit/>
        </w:trPr>
        <w:tc>
          <w:tcPr>
            <w:tcW w:w="0" w:type="auto"/>
            <w:vAlign w:val="bottom"/>
          </w:tcPr>
          <w:p w14:paraId="1CC90C66" w14:textId="77777777" w:rsidR="00A4199D" w:rsidRDefault="000B6150">
            <w:pPr>
              <w:spacing w:beforeAutospacing="1" w:afterAutospacing="1"/>
            </w:pPr>
            <w:r>
              <w:rPr>
                <w:color w:val="000000"/>
              </w:rPr>
              <w:t>Consortium region</w:t>
            </w:r>
          </w:p>
        </w:tc>
        <w:tc>
          <w:tcPr>
            <w:tcW w:w="0" w:type="auto"/>
            <w:vAlign w:val="bottom"/>
          </w:tcPr>
          <w:p w14:paraId="67ED59E1" w14:textId="77777777" w:rsidR="00A4199D" w:rsidRDefault="000B6150">
            <w:pPr>
              <w:spacing w:beforeAutospacing="1" w:afterAutospacing="1"/>
            </w:pPr>
            <w:r>
              <w:rPr>
                <w:color w:val="000000"/>
              </w:rPr>
              <w:t>100</w:t>
            </w:r>
          </w:p>
        </w:tc>
        <w:tc>
          <w:tcPr>
            <w:tcW w:w="0" w:type="auto"/>
            <w:vAlign w:val="bottom"/>
          </w:tcPr>
          <w:p w14:paraId="179DE8C1" w14:textId="77777777" w:rsidR="00A4199D" w:rsidRDefault="000B6150">
            <w:pPr>
              <w:spacing w:beforeAutospacing="1" w:afterAutospacing="1"/>
            </w:pPr>
            <w:r>
              <w:rPr>
                <w:color w:val="000000"/>
              </w:rPr>
              <w:t>16</w:t>
            </w:r>
          </w:p>
        </w:tc>
        <w:tc>
          <w:tcPr>
            <w:tcW w:w="0" w:type="auto"/>
            <w:vAlign w:val="bottom"/>
          </w:tcPr>
          <w:p w14:paraId="1FF6E9B0" w14:textId="77777777" w:rsidR="00A4199D" w:rsidRDefault="000B6150">
            <w:pPr>
              <w:spacing w:beforeAutospacing="1" w:afterAutospacing="1"/>
            </w:pPr>
            <w:r>
              <w:rPr>
                <w:color w:val="000000"/>
              </w:rPr>
              <w:t>admin, planning</w:t>
            </w:r>
          </w:p>
        </w:tc>
      </w:tr>
    </w:tbl>
    <w:p w14:paraId="04077260"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14:paraId="2CBB7F3A" w14:textId="77777777" w:rsidR="00A4199D" w:rsidRDefault="00A4199D">
      <w:pPr>
        <w:keepNext/>
        <w:widowControl w:val="0"/>
        <w:spacing w:line="204" w:lineRule="auto"/>
        <w:rPr>
          <w:b/>
          <w:sz w:val="24"/>
          <w:szCs w:val="24"/>
        </w:rPr>
      </w:pPr>
    </w:p>
    <w:p w14:paraId="300CB04F" w14:textId="77777777" w:rsidR="00A4199D" w:rsidRDefault="000B6150">
      <w:pPr>
        <w:widowControl w:val="0"/>
        <w:spacing w:line="204" w:lineRule="auto"/>
        <w:rPr>
          <w:b/>
          <w:sz w:val="24"/>
          <w:szCs w:val="24"/>
        </w:rPr>
      </w:pPr>
      <w:r>
        <w:rPr>
          <w:b/>
          <w:sz w:val="24"/>
          <w:szCs w:val="24"/>
        </w:rPr>
        <w:t>Narrative</w:t>
      </w:r>
    </w:p>
    <w:p w14:paraId="71D4912D" w14:textId="77777777" w:rsidR="00A4199D" w:rsidRDefault="000B6150">
      <w:pPr>
        <w:widowControl w:val="0"/>
        <w:spacing w:beforeAutospacing="1" w:afterAutospacing="1"/>
        <w:rPr>
          <w:rFonts w:cs="Arial"/>
        </w:rPr>
      </w:pPr>
      <w:r>
        <w:rPr>
          <w:rFonts w:cs="Arial"/>
        </w:rPr>
        <w:t xml:space="preserve">The HOME funding for Admin/Planning and housing development activities is allocated across the Consortium. Admin/Planning funds support the Consortium overall, without regard to geography. Because of the cost and other challenges </w:t>
      </w:r>
      <w:proofErr w:type="gramStart"/>
      <w:r>
        <w:rPr>
          <w:rFonts w:cs="Arial"/>
        </w:rPr>
        <w:t>associated</w:t>
      </w:r>
      <w:proofErr w:type="gramEnd"/>
      <w:r>
        <w:rPr>
          <w:rFonts w:cs="Arial"/>
        </w:rPr>
        <w:t xml:space="preserve"> creating new housing and the small amount of HOME funds available annually, HOME housing development funds are allocated competitively across the three-county area. TBRA funding is allocated geographically by county using a population and demographic-based formula; each county has its own system and partners for administering these resources.</w:t>
      </w:r>
    </w:p>
    <w:p w14:paraId="02D25A52" w14:textId="77777777" w:rsidR="00A4199D" w:rsidRDefault="000B6150">
      <w:pPr>
        <w:pageBreakBefore/>
        <w:widowControl w:val="0"/>
        <w:spacing w:line="240" w:lineRule="auto"/>
        <w:rPr>
          <w:b/>
          <w:sz w:val="24"/>
          <w:szCs w:val="24"/>
        </w:rPr>
      </w:pPr>
      <w:r>
        <w:rPr>
          <w:b/>
          <w:sz w:val="24"/>
          <w:szCs w:val="24"/>
        </w:rPr>
        <w:lastRenderedPageBreak/>
        <w:t>Leveraging</w:t>
      </w:r>
    </w:p>
    <w:p w14:paraId="5ADFAFB7" w14:textId="77777777" w:rsidR="00A4199D" w:rsidRDefault="000B6150">
      <w:pPr>
        <w:widowControl w:val="0"/>
        <w:spacing w:line="240" w:lineRule="auto"/>
        <w:rPr>
          <w:b/>
          <w:sz w:val="24"/>
          <w:szCs w:val="24"/>
        </w:rPr>
      </w:pPr>
      <w:r>
        <w:rPr>
          <w:b/>
          <w:sz w:val="24"/>
          <w:szCs w:val="24"/>
        </w:rPr>
        <w:t xml:space="preserve">Explain how federal </w:t>
      </w:r>
      <w:proofErr w:type="gramStart"/>
      <w:r>
        <w:rPr>
          <w:b/>
          <w:sz w:val="24"/>
          <w:szCs w:val="24"/>
        </w:rPr>
        <w:t>funds  leveraged</w:t>
      </w:r>
      <w:proofErr w:type="gramEnd"/>
      <w:r>
        <w:rPr>
          <w:b/>
          <w:sz w:val="24"/>
          <w:szCs w:val="24"/>
        </w:rPr>
        <w:t xml:space="preserve">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5264D49A" w14:textId="77777777" w:rsidR="00A4199D" w:rsidRDefault="000B6150">
      <w:pPr>
        <w:widowControl w:val="0"/>
        <w:spacing w:beforeAutospacing="1" w:afterAutospacing="1"/>
        <w:rPr>
          <w:sz w:val="24"/>
          <w:szCs w:val="24"/>
        </w:rPr>
      </w:pPr>
      <w:r>
        <w:rPr>
          <w:sz w:val="24"/>
          <w:szCs w:val="24"/>
        </w:rPr>
        <w:t> The Consortium fulfilled match requirements during Program Year 2023 due to large contributions of local spending on the two development projects.</w:t>
      </w:r>
    </w:p>
    <w:p w14:paraId="013CEF9E" w14:textId="77777777" w:rsidR="00A4199D" w:rsidRDefault="00A4199D">
      <w:pPr>
        <w:widowControl w:val="0"/>
        <w:spacing w:after="0" w:line="240" w:lineRule="auto"/>
        <w:rPr>
          <w:sz w:val="24"/>
          <w:szCs w:val="24"/>
        </w:rPr>
      </w:pPr>
    </w:p>
    <w:p w14:paraId="19C12172" w14:textId="77777777" w:rsidR="00A4199D" w:rsidRDefault="00A4199D">
      <w:pPr>
        <w:spacing w:after="0" w:line="240" w:lineRule="auto"/>
        <w:rPr>
          <w:b/>
        </w:rPr>
      </w:pPr>
    </w:p>
    <w:p w14:paraId="212CC9DD" w14:textId="77777777" w:rsidR="00A4199D" w:rsidRDefault="00A4199D">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5"/>
        <w:gridCol w:w="1305"/>
      </w:tblGrid>
      <w:tr w:rsidR="00A4199D" w14:paraId="5F7E693E" w14:textId="77777777">
        <w:trPr>
          <w:cantSplit/>
          <w:tblHeader/>
        </w:trPr>
        <w:tc>
          <w:tcPr>
            <w:tcW w:w="9576" w:type="dxa"/>
            <w:gridSpan w:val="2"/>
          </w:tcPr>
          <w:p w14:paraId="4E48F226" w14:textId="77777777" w:rsidR="00A4199D" w:rsidRDefault="000B6150">
            <w:pPr>
              <w:keepNext/>
              <w:widowControl w:val="0"/>
              <w:spacing w:after="0" w:line="240" w:lineRule="auto"/>
              <w:jc w:val="center"/>
              <w:rPr>
                <w:rFonts w:cs="Arial"/>
              </w:rPr>
            </w:pPr>
            <w:r>
              <w:rPr>
                <w:b/>
              </w:rPr>
              <w:t>Fiscal Year Summary – HOME Match</w:t>
            </w:r>
          </w:p>
        </w:tc>
      </w:tr>
      <w:tr w:rsidR="00A4199D" w14:paraId="19946153" w14:textId="77777777">
        <w:trPr>
          <w:cantSplit/>
        </w:trPr>
        <w:tc>
          <w:tcPr>
            <w:tcW w:w="0" w:type="auto"/>
            <w:vAlign w:val="bottom"/>
          </w:tcPr>
          <w:p w14:paraId="0F9851FC" w14:textId="77777777" w:rsidR="00A4199D" w:rsidRDefault="000B6150">
            <w:pPr>
              <w:spacing w:beforeAutospacing="1" w:afterAutospacing="1"/>
            </w:pPr>
            <w:r>
              <w:rPr>
                <w:color w:val="000000"/>
              </w:rPr>
              <w:t>1. Excess match from prior Federal fiscal year</w:t>
            </w:r>
          </w:p>
        </w:tc>
        <w:tc>
          <w:tcPr>
            <w:tcW w:w="0" w:type="auto"/>
            <w:vAlign w:val="bottom"/>
          </w:tcPr>
          <w:p w14:paraId="618DD795" w14:textId="77777777" w:rsidR="00A4199D" w:rsidRDefault="000B6150">
            <w:pPr>
              <w:spacing w:beforeAutospacing="1" w:afterAutospacing="1"/>
              <w:jc w:val="right"/>
            </w:pPr>
            <w:r>
              <w:rPr>
                <w:color w:val="000000"/>
              </w:rPr>
              <w:t>2,073,528</w:t>
            </w:r>
          </w:p>
        </w:tc>
      </w:tr>
      <w:tr w:rsidR="00A4199D" w14:paraId="235E3A7F" w14:textId="77777777">
        <w:trPr>
          <w:cantSplit/>
        </w:trPr>
        <w:tc>
          <w:tcPr>
            <w:tcW w:w="0" w:type="auto"/>
            <w:vAlign w:val="bottom"/>
          </w:tcPr>
          <w:p w14:paraId="6C6659BB" w14:textId="77777777" w:rsidR="00A4199D" w:rsidRDefault="000B6150">
            <w:pPr>
              <w:spacing w:beforeAutospacing="1" w:afterAutospacing="1"/>
            </w:pPr>
            <w:r>
              <w:rPr>
                <w:color w:val="000000"/>
              </w:rPr>
              <w:t xml:space="preserve">2. Match contributed during </w:t>
            </w:r>
            <w:proofErr w:type="gramStart"/>
            <w:r>
              <w:rPr>
                <w:color w:val="000000"/>
              </w:rPr>
              <w:t>current</w:t>
            </w:r>
            <w:proofErr w:type="gramEnd"/>
            <w:r>
              <w:rPr>
                <w:color w:val="000000"/>
              </w:rPr>
              <w:t xml:space="preserve"> Federal fiscal year</w:t>
            </w:r>
          </w:p>
        </w:tc>
        <w:tc>
          <w:tcPr>
            <w:tcW w:w="0" w:type="auto"/>
            <w:vAlign w:val="bottom"/>
          </w:tcPr>
          <w:p w14:paraId="2D8D5E0F" w14:textId="77777777" w:rsidR="00A4199D" w:rsidRDefault="000B6150">
            <w:pPr>
              <w:spacing w:beforeAutospacing="1" w:afterAutospacing="1"/>
              <w:jc w:val="right"/>
            </w:pPr>
            <w:r>
              <w:rPr>
                <w:color w:val="000000"/>
              </w:rPr>
              <w:t>36,110</w:t>
            </w:r>
          </w:p>
        </w:tc>
      </w:tr>
      <w:tr w:rsidR="00A4199D" w14:paraId="77603B24" w14:textId="77777777">
        <w:trPr>
          <w:cantSplit/>
        </w:trPr>
        <w:tc>
          <w:tcPr>
            <w:tcW w:w="0" w:type="auto"/>
            <w:vAlign w:val="bottom"/>
          </w:tcPr>
          <w:p w14:paraId="70F6D3D4" w14:textId="77777777" w:rsidR="00A4199D" w:rsidRDefault="000B6150">
            <w:pPr>
              <w:spacing w:beforeAutospacing="1" w:afterAutospacing="1"/>
            </w:pPr>
            <w:r>
              <w:rPr>
                <w:color w:val="000000"/>
              </w:rPr>
              <w:t>3. Total match available for current Federal fiscal year (Line 1 plus Line 2)</w:t>
            </w:r>
          </w:p>
        </w:tc>
        <w:tc>
          <w:tcPr>
            <w:tcW w:w="0" w:type="auto"/>
            <w:vAlign w:val="bottom"/>
          </w:tcPr>
          <w:p w14:paraId="482966F9" w14:textId="77777777" w:rsidR="00A4199D" w:rsidRDefault="000B6150">
            <w:pPr>
              <w:spacing w:beforeAutospacing="1" w:afterAutospacing="1"/>
              <w:jc w:val="right"/>
            </w:pPr>
            <w:r>
              <w:rPr>
                <w:color w:val="000000"/>
              </w:rPr>
              <w:t>2,109,638</w:t>
            </w:r>
          </w:p>
        </w:tc>
      </w:tr>
      <w:tr w:rsidR="00A4199D" w14:paraId="4B019CCA" w14:textId="77777777">
        <w:trPr>
          <w:cantSplit/>
        </w:trPr>
        <w:tc>
          <w:tcPr>
            <w:tcW w:w="0" w:type="auto"/>
            <w:vAlign w:val="bottom"/>
          </w:tcPr>
          <w:p w14:paraId="41C9C85E" w14:textId="77777777" w:rsidR="00A4199D" w:rsidRDefault="000B6150">
            <w:pPr>
              <w:spacing w:beforeAutospacing="1" w:afterAutospacing="1"/>
            </w:pPr>
            <w:r>
              <w:rPr>
                <w:color w:val="000000"/>
              </w:rPr>
              <w:t>4. Match liability for current Federal fiscal year</w:t>
            </w:r>
          </w:p>
        </w:tc>
        <w:tc>
          <w:tcPr>
            <w:tcW w:w="0" w:type="auto"/>
            <w:vAlign w:val="bottom"/>
          </w:tcPr>
          <w:p w14:paraId="75189463" w14:textId="77777777" w:rsidR="00A4199D" w:rsidRDefault="000B6150">
            <w:pPr>
              <w:spacing w:beforeAutospacing="1" w:afterAutospacing="1"/>
              <w:jc w:val="right"/>
            </w:pPr>
            <w:r>
              <w:rPr>
                <w:color w:val="000000"/>
              </w:rPr>
              <w:t>259,567</w:t>
            </w:r>
          </w:p>
        </w:tc>
      </w:tr>
      <w:tr w:rsidR="00A4199D" w14:paraId="7313A151" w14:textId="77777777">
        <w:trPr>
          <w:cantSplit/>
        </w:trPr>
        <w:tc>
          <w:tcPr>
            <w:tcW w:w="0" w:type="auto"/>
            <w:vAlign w:val="bottom"/>
          </w:tcPr>
          <w:p w14:paraId="17E8D0EB" w14:textId="77777777" w:rsidR="00A4199D" w:rsidRDefault="000B6150">
            <w:pPr>
              <w:spacing w:beforeAutospacing="1" w:afterAutospacing="1"/>
            </w:pPr>
            <w:r>
              <w:rPr>
                <w:color w:val="000000"/>
              </w:rPr>
              <w:t>5. Excess match carried over to next Federal fiscal year (Line 3 minus Line 4)</w:t>
            </w:r>
          </w:p>
        </w:tc>
        <w:tc>
          <w:tcPr>
            <w:tcW w:w="0" w:type="auto"/>
            <w:vAlign w:val="bottom"/>
          </w:tcPr>
          <w:p w14:paraId="59A3918D" w14:textId="77777777" w:rsidR="00A4199D" w:rsidRDefault="000B6150">
            <w:pPr>
              <w:spacing w:beforeAutospacing="1" w:afterAutospacing="1"/>
              <w:jc w:val="right"/>
            </w:pPr>
            <w:r>
              <w:rPr>
                <w:color w:val="000000"/>
              </w:rPr>
              <w:t>1,850,071</w:t>
            </w:r>
          </w:p>
        </w:tc>
      </w:tr>
    </w:tbl>
    <w:p w14:paraId="53208B1F"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Fiscal Year Summary - HOME Match Report</w:t>
      </w:r>
    </w:p>
    <w:p w14:paraId="22861747" w14:textId="77777777" w:rsidR="00A4199D" w:rsidRDefault="00A4199D">
      <w:pPr>
        <w:widowControl w:val="0"/>
        <w:spacing w:line="204" w:lineRule="auto"/>
        <w:rPr>
          <w:rFonts w:cs="Arial"/>
        </w:rPr>
      </w:pPr>
    </w:p>
    <w:p w14:paraId="0D37D1AB" w14:textId="77777777" w:rsidR="00A4199D" w:rsidRDefault="00A4199D">
      <w:pPr>
        <w:widowControl w:val="0"/>
        <w:spacing w:line="204" w:lineRule="auto"/>
        <w:rPr>
          <w:rFonts w:cs="Arial"/>
        </w:rPr>
      </w:pPr>
    </w:p>
    <w:p w14:paraId="31733C8D" w14:textId="77777777" w:rsidR="00A4199D" w:rsidRDefault="00A4199D">
      <w:pPr>
        <w:keepNext/>
        <w:spacing w:after="0" w:line="240" w:lineRule="auto"/>
        <w:rPr>
          <w:b/>
          <w:sz w:val="24"/>
          <w:szCs w:val="24"/>
        </w:rPr>
        <w:sectPr w:rsidR="00A4199D">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39"/>
        <w:gridCol w:w="1439"/>
        <w:gridCol w:w="1439"/>
        <w:gridCol w:w="1438"/>
        <w:gridCol w:w="1439"/>
        <w:gridCol w:w="1439"/>
        <w:gridCol w:w="1439"/>
        <w:gridCol w:w="1439"/>
        <w:gridCol w:w="1439"/>
      </w:tblGrid>
      <w:tr w:rsidR="00A4199D" w14:paraId="2C4FE3E9" w14:textId="77777777">
        <w:trPr>
          <w:cantSplit/>
          <w:tblHeader/>
        </w:trPr>
        <w:tc>
          <w:tcPr>
            <w:tcW w:w="13176" w:type="dxa"/>
            <w:gridSpan w:val="9"/>
          </w:tcPr>
          <w:p w14:paraId="2CE6C63D" w14:textId="77777777" w:rsidR="00A4199D" w:rsidRDefault="000B6150">
            <w:pPr>
              <w:keepNext/>
              <w:widowControl w:val="0"/>
              <w:tabs>
                <w:tab w:val="left" w:pos="405"/>
                <w:tab w:val="center" w:pos="6480"/>
              </w:tabs>
              <w:spacing w:after="0" w:line="240" w:lineRule="auto"/>
              <w:rPr>
                <w:b/>
              </w:rPr>
            </w:pPr>
            <w:r>
              <w:rPr>
                <w:b/>
              </w:rPr>
              <w:lastRenderedPageBreak/>
              <w:tab/>
            </w:r>
            <w:r>
              <w:rPr>
                <w:b/>
              </w:rPr>
              <w:tab/>
              <w:t>Match Contribution for the Federal Fiscal Year</w:t>
            </w:r>
          </w:p>
        </w:tc>
      </w:tr>
      <w:tr w:rsidR="00A4199D" w14:paraId="47F386D7" w14:textId="77777777">
        <w:trPr>
          <w:cantSplit/>
          <w:tblHeader/>
        </w:trPr>
        <w:tc>
          <w:tcPr>
            <w:tcW w:w="1464" w:type="dxa"/>
          </w:tcPr>
          <w:p w14:paraId="0FE71BA4" w14:textId="77777777" w:rsidR="00A4199D" w:rsidRDefault="000B6150">
            <w:pPr>
              <w:keepNext/>
              <w:widowControl w:val="0"/>
              <w:spacing w:after="0" w:line="240" w:lineRule="auto"/>
              <w:jc w:val="center"/>
              <w:rPr>
                <w:b/>
                <w:sz w:val="20"/>
                <w:szCs w:val="20"/>
              </w:rPr>
            </w:pPr>
            <w:r>
              <w:rPr>
                <w:b/>
                <w:sz w:val="20"/>
                <w:szCs w:val="20"/>
              </w:rPr>
              <w:t>Project No. or Other ID</w:t>
            </w:r>
          </w:p>
        </w:tc>
        <w:tc>
          <w:tcPr>
            <w:tcW w:w="1464" w:type="dxa"/>
          </w:tcPr>
          <w:p w14:paraId="301C2CAF" w14:textId="77777777" w:rsidR="00A4199D" w:rsidRDefault="000B6150">
            <w:pPr>
              <w:keepNext/>
              <w:widowControl w:val="0"/>
              <w:spacing w:after="0" w:line="240" w:lineRule="auto"/>
              <w:jc w:val="center"/>
              <w:rPr>
                <w:b/>
                <w:sz w:val="20"/>
                <w:szCs w:val="20"/>
              </w:rPr>
            </w:pPr>
            <w:r>
              <w:rPr>
                <w:b/>
                <w:sz w:val="20"/>
                <w:szCs w:val="20"/>
              </w:rPr>
              <w:t xml:space="preserve">Date of </w:t>
            </w:r>
            <w:r>
              <w:rPr>
                <w:b/>
                <w:sz w:val="20"/>
                <w:szCs w:val="20"/>
              </w:rPr>
              <w:t>Contribution</w:t>
            </w:r>
          </w:p>
        </w:tc>
        <w:tc>
          <w:tcPr>
            <w:tcW w:w="1464" w:type="dxa"/>
          </w:tcPr>
          <w:p w14:paraId="43EB01B4" w14:textId="77777777" w:rsidR="00A4199D" w:rsidRDefault="000B6150">
            <w:pPr>
              <w:keepNext/>
              <w:widowControl w:val="0"/>
              <w:spacing w:after="0" w:line="240" w:lineRule="auto"/>
              <w:jc w:val="center"/>
              <w:rPr>
                <w:b/>
                <w:sz w:val="20"/>
                <w:szCs w:val="20"/>
              </w:rPr>
            </w:pPr>
            <w:r>
              <w:rPr>
                <w:b/>
                <w:sz w:val="20"/>
                <w:szCs w:val="20"/>
              </w:rPr>
              <w:t>Cash</w:t>
            </w:r>
          </w:p>
          <w:p w14:paraId="29AD1ED9" w14:textId="77777777" w:rsidR="00A4199D" w:rsidRDefault="000B6150">
            <w:pPr>
              <w:keepNext/>
              <w:widowControl w:val="0"/>
              <w:spacing w:after="0" w:line="240" w:lineRule="auto"/>
              <w:jc w:val="center"/>
              <w:rPr>
                <w:b/>
                <w:sz w:val="20"/>
                <w:szCs w:val="20"/>
              </w:rPr>
            </w:pPr>
            <w:r>
              <w:rPr>
                <w:b/>
                <w:sz w:val="20"/>
                <w:szCs w:val="20"/>
              </w:rPr>
              <w:t>(non-Federal sources)</w:t>
            </w:r>
          </w:p>
        </w:tc>
        <w:tc>
          <w:tcPr>
            <w:tcW w:w="1464" w:type="dxa"/>
          </w:tcPr>
          <w:p w14:paraId="7185371B" w14:textId="77777777" w:rsidR="00A4199D" w:rsidRDefault="000B6150">
            <w:pPr>
              <w:keepNext/>
              <w:widowControl w:val="0"/>
              <w:spacing w:after="0" w:line="240" w:lineRule="auto"/>
              <w:jc w:val="center"/>
              <w:rPr>
                <w:b/>
                <w:sz w:val="20"/>
                <w:szCs w:val="20"/>
              </w:rPr>
            </w:pPr>
            <w:r>
              <w:rPr>
                <w:b/>
                <w:sz w:val="20"/>
                <w:szCs w:val="20"/>
              </w:rPr>
              <w:t>Foregone Taxes, Fees, Charges</w:t>
            </w:r>
          </w:p>
        </w:tc>
        <w:tc>
          <w:tcPr>
            <w:tcW w:w="1464" w:type="dxa"/>
          </w:tcPr>
          <w:p w14:paraId="1EA00391" w14:textId="77777777" w:rsidR="00A4199D" w:rsidRDefault="000B6150">
            <w:pPr>
              <w:keepNext/>
              <w:widowControl w:val="0"/>
              <w:spacing w:after="0" w:line="240" w:lineRule="auto"/>
              <w:jc w:val="center"/>
              <w:rPr>
                <w:b/>
                <w:sz w:val="20"/>
                <w:szCs w:val="20"/>
              </w:rPr>
            </w:pPr>
            <w:r>
              <w:rPr>
                <w:b/>
                <w:sz w:val="20"/>
                <w:szCs w:val="20"/>
              </w:rPr>
              <w:t>Appraised Land/Real Property</w:t>
            </w:r>
          </w:p>
        </w:tc>
        <w:tc>
          <w:tcPr>
            <w:tcW w:w="1464" w:type="dxa"/>
          </w:tcPr>
          <w:p w14:paraId="7BB595C8" w14:textId="77777777" w:rsidR="00A4199D" w:rsidRDefault="000B6150">
            <w:pPr>
              <w:keepNext/>
              <w:widowControl w:val="0"/>
              <w:spacing w:after="0" w:line="240" w:lineRule="auto"/>
              <w:jc w:val="center"/>
              <w:rPr>
                <w:b/>
                <w:sz w:val="20"/>
                <w:szCs w:val="20"/>
              </w:rPr>
            </w:pPr>
            <w:r>
              <w:rPr>
                <w:b/>
                <w:sz w:val="20"/>
                <w:szCs w:val="20"/>
              </w:rPr>
              <w:t>Required Infrastructure</w:t>
            </w:r>
          </w:p>
        </w:tc>
        <w:tc>
          <w:tcPr>
            <w:tcW w:w="1464" w:type="dxa"/>
          </w:tcPr>
          <w:p w14:paraId="00401E22" w14:textId="77777777" w:rsidR="00A4199D" w:rsidRDefault="000B6150">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14:paraId="36D0B739" w14:textId="77777777" w:rsidR="00A4199D" w:rsidRDefault="000B6150">
            <w:pPr>
              <w:keepNext/>
              <w:widowControl w:val="0"/>
              <w:spacing w:after="0" w:line="240" w:lineRule="auto"/>
              <w:jc w:val="center"/>
              <w:rPr>
                <w:b/>
                <w:sz w:val="20"/>
                <w:szCs w:val="20"/>
              </w:rPr>
            </w:pPr>
            <w:r>
              <w:rPr>
                <w:b/>
                <w:sz w:val="20"/>
                <w:szCs w:val="20"/>
              </w:rPr>
              <w:t>Bond Financing</w:t>
            </w:r>
          </w:p>
        </w:tc>
        <w:tc>
          <w:tcPr>
            <w:tcW w:w="1464" w:type="dxa"/>
          </w:tcPr>
          <w:p w14:paraId="0011DA62" w14:textId="77777777" w:rsidR="00A4199D" w:rsidRDefault="000B6150">
            <w:pPr>
              <w:keepNext/>
              <w:widowControl w:val="0"/>
              <w:spacing w:after="0" w:line="240" w:lineRule="auto"/>
              <w:jc w:val="center"/>
              <w:rPr>
                <w:b/>
                <w:sz w:val="20"/>
                <w:szCs w:val="20"/>
              </w:rPr>
            </w:pPr>
            <w:r>
              <w:rPr>
                <w:b/>
                <w:sz w:val="20"/>
                <w:szCs w:val="20"/>
              </w:rPr>
              <w:t>Total Match</w:t>
            </w:r>
          </w:p>
        </w:tc>
      </w:tr>
      <w:tr w:rsidR="00A4199D" w14:paraId="1FDF9BF3" w14:textId="77777777">
        <w:trPr>
          <w:cantSplit/>
        </w:trPr>
        <w:tc>
          <w:tcPr>
            <w:tcW w:w="1465" w:type="dxa"/>
            <w:vAlign w:val="bottom"/>
          </w:tcPr>
          <w:p w14:paraId="6488CA82" w14:textId="77777777" w:rsidR="00A4199D" w:rsidRDefault="000B6150">
            <w:pPr>
              <w:spacing w:beforeAutospacing="1" w:afterAutospacing="1"/>
              <w:jc w:val="right"/>
            </w:pPr>
            <w:r>
              <w:rPr>
                <w:color w:val="000000"/>
              </w:rPr>
              <w:t>Home Trust of Skagit CHDO- Channel Cove</w:t>
            </w:r>
          </w:p>
        </w:tc>
        <w:tc>
          <w:tcPr>
            <w:tcW w:w="1465" w:type="dxa"/>
            <w:vAlign w:val="bottom"/>
          </w:tcPr>
          <w:p w14:paraId="6ECDD3FC" w14:textId="77777777" w:rsidR="00A4199D" w:rsidRDefault="000B6150">
            <w:pPr>
              <w:spacing w:beforeAutospacing="1" w:afterAutospacing="1"/>
              <w:jc w:val="right"/>
            </w:pPr>
            <w:r>
              <w:rPr>
                <w:color w:val="000000"/>
              </w:rPr>
              <w:t>02/08/2023</w:t>
            </w:r>
          </w:p>
        </w:tc>
        <w:tc>
          <w:tcPr>
            <w:tcW w:w="1465" w:type="dxa"/>
            <w:vAlign w:val="bottom"/>
          </w:tcPr>
          <w:p w14:paraId="694A66ED" w14:textId="77777777" w:rsidR="00A4199D" w:rsidRDefault="000B6150">
            <w:pPr>
              <w:spacing w:beforeAutospacing="1" w:afterAutospacing="1"/>
              <w:jc w:val="right"/>
            </w:pPr>
            <w:r>
              <w:rPr>
                <w:color w:val="000000"/>
              </w:rPr>
              <w:t>36,110</w:t>
            </w:r>
          </w:p>
        </w:tc>
        <w:tc>
          <w:tcPr>
            <w:tcW w:w="1465" w:type="dxa"/>
            <w:vAlign w:val="bottom"/>
          </w:tcPr>
          <w:p w14:paraId="665B8004" w14:textId="77777777" w:rsidR="00A4199D" w:rsidRDefault="000B6150">
            <w:pPr>
              <w:spacing w:beforeAutospacing="1" w:afterAutospacing="1"/>
              <w:jc w:val="right"/>
            </w:pPr>
            <w:r>
              <w:rPr>
                <w:color w:val="000000"/>
              </w:rPr>
              <w:t>0</w:t>
            </w:r>
          </w:p>
        </w:tc>
        <w:tc>
          <w:tcPr>
            <w:tcW w:w="1466" w:type="dxa"/>
            <w:vAlign w:val="bottom"/>
          </w:tcPr>
          <w:p w14:paraId="5F4B0533" w14:textId="77777777" w:rsidR="00A4199D" w:rsidRDefault="000B6150">
            <w:pPr>
              <w:spacing w:beforeAutospacing="1" w:afterAutospacing="1"/>
              <w:jc w:val="right"/>
            </w:pPr>
            <w:r>
              <w:rPr>
                <w:color w:val="000000"/>
              </w:rPr>
              <w:t>0</w:t>
            </w:r>
          </w:p>
        </w:tc>
        <w:tc>
          <w:tcPr>
            <w:tcW w:w="1466" w:type="dxa"/>
            <w:vAlign w:val="bottom"/>
          </w:tcPr>
          <w:p w14:paraId="5C135702" w14:textId="77777777" w:rsidR="00A4199D" w:rsidRDefault="000B6150">
            <w:pPr>
              <w:spacing w:beforeAutospacing="1" w:afterAutospacing="1"/>
              <w:jc w:val="right"/>
            </w:pPr>
            <w:r>
              <w:rPr>
                <w:color w:val="000000"/>
              </w:rPr>
              <w:t>0</w:t>
            </w:r>
          </w:p>
        </w:tc>
        <w:tc>
          <w:tcPr>
            <w:tcW w:w="1466" w:type="dxa"/>
            <w:vAlign w:val="bottom"/>
          </w:tcPr>
          <w:p w14:paraId="6CFDCDA0" w14:textId="77777777" w:rsidR="00A4199D" w:rsidRDefault="000B6150">
            <w:pPr>
              <w:spacing w:beforeAutospacing="1" w:afterAutospacing="1"/>
              <w:jc w:val="right"/>
            </w:pPr>
            <w:r>
              <w:rPr>
                <w:color w:val="000000"/>
              </w:rPr>
              <w:t>0</w:t>
            </w:r>
          </w:p>
        </w:tc>
        <w:tc>
          <w:tcPr>
            <w:tcW w:w="1466" w:type="dxa"/>
            <w:vAlign w:val="bottom"/>
          </w:tcPr>
          <w:p w14:paraId="5FC67486" w14:textId="77777777" w:rsidR="00A4199D" w:rsidRDefault="000B6150">
            <w:pPr>
              <w:spacing w:beforeAutospacing="1" w:afterAutospacing="1"/>
              <w:jc w:val="right"/>
            </w:pPr>
            <w:r>
              <w:rPr>
                <w:color w:val="000000"/>
              </w:rPr>
              <w:t>0</w:t>
            </w:r>
          </w:p>
        </w:tc>
        <w:tc>
          <w:tcPr>
            <w:tcW w:w="1466" w:type="dxa"/>
            <w:vAlign w:val="bottom"/>
          </w:tcPr>
          <w:p w14:paraId="5B712D31" w14:textId="77777777" w:rsidR="00A4199D" w:rsidRDefault="000B6150">
            <w:pPr>
              <w:spacing w:beforeAutospacing="1" w:afterAutospacing="1"/>
              <w:jc w:val="right"/>
            </w:pPr>
            <w:r>
              <w:rPr>
                <w:color w:val="000000"/>
              </w:rPr>
              <w:t>36,110</w:t>
            </w:r>
          </w:p>
        </w:tc>
      </w:tr>
    </w:tbl>
    <w:p w14:paraId="606E8960"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Match Contribution for the Federal Fiscal Year</w:t>
      </w:r>
    </w:p>
    <w:p w14:paraId="0B990863" w14:textId="77777777" w:rsidR="00A4199D" w:rsidRDefault="00A4199D"/>
    <w:p w14:paraId="08E36FA5" w14:textId="77777777" w:rsidR="00A4199D" w:rsidRDefault="000B6150">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89"/>
        <w:gridCol w:w="2590"/>
        <w:gridCol w:w="2590"/>
        <w:gridCol w:w="2590"/>
        <w:gridCol w:w="2591"/>
      </w:tblGrid>
      <w:tr w:rsidR="00A4199D" w14:paraId="3CDE1E39" w14:textId="77777777">
        <w:trPr>
          <w:cantSplit/>
          <w:tblHeader/>
        </w:trPr>
        <w:tc>
          <w:tcPr>
            <w:tcW w:w="13176" w:type="dxa"/>
            <w:gridSpan w:val="5"/>
          </w:tcPr>
          <w:p w14:paraId="183ED0D4" w14:textId="77777777" w:rsidR="00A4199D" w:rsidRDefault="000B6150">
            <w:pPr>
              <w:keepNext/>
              <w:widowControl w:val="0"/>
              <w:spacing w:after="0" w:line="240" w:lineRule="auto"/>
              <w:rPr>
                <w:b/>
              </w:rPr>
            </w:pPr>
            <w:r>
              <w:rPr>
                <w:b/>
              </w:rPr>
              <w:t xml:space="preserve">Program Income </w:t>
            </w:r>
            <w:r>
              <w:t>– Enter the program amounts for the reporting period</w:t>
            </w:r>
          </w:p>
        </w:tc>
      </w:tr>
      <w:tr w:rsidR="00A4199D" w14:paraId="34462592" w14:textId="77777777">
        <w:trPr>
          <w:cantSplit/>
          <w:tblHeader/>
        </w:trPr>
        <w:tc>
          <w:tcPr>
            <w:tcW w:w="2635" w:type="dxa"/>
          </w:tcPr>
          <w:p w14:paraId="303A35F1" w14:textId="77777777" w:rsidR="00A4199D" w:rsidRDefault="000B6150">
            <w:pPr>
              <w:keepNext/>
              <w:spacing w:after="0" w:line="240" w:lineRule="auto"/>
              <w:jc w:val="center"/>
              <w:rPr>
                <w:b/>
              </w:rPr>
            </w:pPr>
            <w:r>
              <w:rPr>
                <w:b/>
              </w:rPr>
              <w:t xml:space="preserve">Balance on hand at </w:t>
            </w:r>
            <w:proofErr w:type="gramStart"/>
            <w:r>
              <w:rPr>
                <w:b/>
              </w:rPr>
              <w:t>begin-</w:t>
            </w:r>
            <w:proofErr w:type="spellStart"/>
            <w:r>
              <w:rPr>
                <w:b/>
              </w:rPr>
              <w:t>ning</w:t>
            </w:r>
            <w:proofErr w:type="spellEnd"/>
            <w:proofErr w:type="gramEnd"/>
            <w:r>
              <w:rPr>
                <w:b/>
              </w:rPr>
              <w:t xml:space="preserve"> of reporting period</w:t>
            </w:r>
          </w:p>
          <w:p w14:paraId="44343219" w14:textId="77777777" w:rsidR="00A4199D" w:rsidRDefault="000B6150">
            <w:pPr>
              <w:keepNext/>
              <w:spacing w:after="0" w:line="240" w:lineRule="auto"/>
              <w:jc w:val="center"/>
              <w:rPr>
                <w:b/>
              </w:rPr>
            </w:pPr>
            <w:r>
              <w:rPr>
                <w:b/>
              </w:rPr>
              <w:t>$</w:t>
            </w:r>
          </w:p>
        </w:tc>
        <w:tc>
          <w:tcPr>
            <w:tcW w:w="2635" w:type="dxa"/>
          </w:tcPr>
          <w:p w14:paraId="2172B0DE" w14:textId="77777777" w:rsidR="00A4199D" w:rsidRDefault="000B6150">
            <w:pPr>
              <w:keepNext/>
              <w:spacing w:after="0" w:line="240" w:lineRule="auto"/>
              <w:jc w:val="center"/>
              <w:rPr>
                <w:b/>
              </w:rPr>
            </w:pPr>
            <w:r>
              <w:rPr>
                <w:b/>
              </w:rPr>
              <w:t>Amount received during reporting period</w:t>
            </w:r>
          </w:p>
          <w:p w14:paraId="47F7E893" w14:textId="77777777" w:rsidR="00A4199D" w:rsidRDefault="000B6150">
            <w:pPr>
              <w:keepNext/>
              <w:spacing w:after="0" w:line="240" w:lineRule="auto"/>
              <w:jc w:val="center"/>
              <w:rPr>
                <w:b/>
              </w:rPr>
            </w:pPr>
            <w:r>
              <w:rPr>
                <w:b/>
              </w:rPr>
              <w:t>$</w:t>
            </w:r>
          </w:p>
        </w:tc>
        <w:tc>
          <w:tcPr>
            <w:tcW w:w="2635" w:type="dxa"/>
          </w:tcPr>
          <w:p w14:paraId="0CA22486" w14:textId="77777777" w:rsidR="00A4199D" w:rsidRDefault="000B6150">
            <w:pPr>
              <w:keepNext/>
              <w:spacing w:after="0" w:line="240" w:lineRule="auto"/>
              <w:jc w:val="center"/>
              <w:rPr>
                <w:b/>
              </w:rPr>
            </w:pPr>
            <w:r>
              <w:rPr>
                <w:b/>
              </w:rPr>
              <w:t>Total amount expended during reporting period</w:t>
            </w:r>
          </w:p>
          <w:p w14:paraId="435FE958" w14:textId="77777777" w:rsidR="00A4199D" w:rsidRDefault="000B6150">
            <w:pPr>
              <w:keepNext/>
              <w:spacing w:after="0" w:line="240" w:lineRule="auto"/>
              <w:jc w:val="center"/>
              <w:rPr>
                <w:b/>
              </w:rPr>
            </w:pPr>
            <w:r>
              <w:rPr>
                <w:b/>
              </w:rPr>
              <w:t>$</w:t>
            </w:r>
          </w:p>
        </w:tc>
        <w:tc>
          <w:tcPr>
            <w:tcW w:w="2635" w:type="dxa"/>
          </w:tcPr>
          <w:p w14:paraId="5187A571" w14:textId="77777777" w:rsidR="00A4199D" w:rsidRDefault="000B6150">
            <w:pPr>
              <w:keepNext/>
              <w:spacing w:after="0" w:line="240" w:lineRule="auto"/>
              <w:jc w:val="center"/>
              <w:rPr>
                <w:b/>
              </w:rPr>
            </w:pPr>
            <w:r>
              <w:rPr>
                <w:b/>
              </w:rPr>
              <w:t>Amount expended for TBRA</w:t>
            </w:r>
          </w:p>
          <w:p w14:paraId="5BE2BD09" w14:textId="77777777" w:rsidR="00A4199D" w:rsidRDefault="000B6150">
            <w:pPr>
              <w:keepNext/>
              <w:spacing w:after="0" w:line="240" w:lineRule="auto"/>
              <w:jc w:val="center"/>
              <w:rPr>
                <w:b/>
              </w:rPr>
            </w:pPr>
            <w:r>
              <w:rPr>
                <w:b/>
              </w:rPr>
              <w:t>$</w:t>
            </w:r>
          </w:p>
        </w:tc>
        <w:tc>
          <w:tcPr>
            <w:tcW w:w="2636" w:type="dxa"/>
          </w:tcPr>
          <w:p w14:paraId="247AEC12" w14:textId="77777777" w:rsidR="00A4199D" w:rsidRDefault="000B6150">
            <w:pPr>
              <w:keepNext/>
              <w:spacing w:after="0" w:line="240" w:lineRule="auto"/>
              <w:jc w:val="center"/>
              <w:rPr>
                <w:b/>
              </w:rPr>
            </w:pPr>
            <w:r>
              <w:rPr>
                <w:b/>
              </w:rPr>
              <w:t>Balance on hand at end of reporting period</w:t>
            </w:r>
          </w:p>
          <w:p w14:paraId="1ABF344D" w14:textId="77777777" w:rsidR="00A4199D" w:rsidRDefault="000B6150">
            <w:pPr>
              <w:keepNext/>
              <w:spacing w:after="0" w:line="240" w:lineRule="auto"/>
              <w:jc w:val="center"/>
              <w:rPr>
                <w:b/>
              </w:rPr>
            </w:pPr>
            <w:r>
              <w:rPr>
                <w:b/>
              </w:rPr>
              <w:t>$</w:t>
            </w:r>
          </w:p>
        </w:tc>
      </w:tr>
      <w:tr w:rsidR="00A4199D" w14:paraId="68B52037" w14:textId="77777777">
        <w:trPr>
          <w:cantSplit/>
        </w:trPr>
        <w:tc>
          <w:tcPr>
            <w:tcW w:w="2637" w:type="dxa"/>
            <w:vAlign w:val="bottom"/>
          </w:tcPr>
          <w:p w14:paraId="021C2357" w14:textId="77777777" w:rsidR="00A4199D" w:rsidRDefault="000B6150">
            <w:pPr>
              <w:spacing w:beforeAutospacing="1" w:afterAutospacing="1"/>
              <w:jc w:val="right"/>
            </w:pPr>
            <w:r>
              <w:rPr>
                <w:color w:val="000000"/>
              </w:rPr>
              <w:t>0</w:t>
            </w:r>
          </w:p>
        </w:tc>
        <w:tc>
          <w:tcPr>
            <w:tcW w:w="2638" w:type="dxa"/>
            <w:vAlign w:val="bottom"/>
          </w:tcPr>
          <w:p w14:paraId="0C847728" w14:textId="77777777" w:rsidR="00A4199D" w:rsidRDefault="000B6150">
            <w:pPr>
              <w:spacing w:beforeAutospacing="1" w:afterAutospacing="1"/>
              <w:jc w:val="right"/>
            </w:pPr>
            <w:r>
              <w:rPr>
                <w:color w:val="000000"/>
              </w:rPr>
              <w:t>0</w:t>
            </w:r>
          </w:p>
        </w:tc>
        <w:tc>
          <w:tcPr>
            <w:tcW w:w="2638" w:type="dxa"/>
            <w:vAlign w:val="bottom"/>
          </w:tcPr>
          <w:p w14:paraId="50DBF600" w14:textId="77777777" w:rsidR="00A4199D" w:rsidRDefault="000B6150">
            <w:pPr>
              <w:spacing w:beforeAutospacing="1" w:afterAutospacing="1"/>
              <w:jc w:val="right"/>
            </w:pPr>
            <w:r>
              <w:rPr>
                <w:color w:val="000000"/>
              </w:rPr>
              <w:t>0</w:t>
            </w:r>
          </w:p>
        </w:tc>
        <w:tc>
          <w:tcPr>
            <w:tcW w:w="2638" w:type="dxa"/>
            <w:vAlign w:val="bottom"/>
          </w:tcPr>
          <w:p w14:paraId="21793EE0" w14:textId="77777777" w:rsidR="00A4199D" w:rsidRDefault="000B6150">
            <w:pPr>
              <w:spacing w:beforeAutospacing="1" w:afterAutospacing="1"/>
              <w:jc w:val="right"/>
            </w:pPr>
            <w:r>
              <w:rPr>
                <w:color w:val="000000"/>
              </w:rPr>
              <w:t>0</w:t>
            </w:r>
          </w:p>
        </w:tc>
        <w:tc>
          <w:tcPr>
            <w:tcW w:w="2639" w:type="dxa"/>
            <w:vAlign w:val="bottom"/>
          </w:tcPr>
          <w:p w14:paraId="436DDC9C" w14:textId="77777777" w:rsidR="00A4199D" w:rsidRDefault="000B6150">
            <w:pPr>
              <w:spacing w:beforeAutospacing="1" w:afterAutospacing="1"/>
              <w:jc w:val="right"/>
            </w:pPr>
            <w:r>
              <w:rPr>
                <w:color w:val="000000"/>
              </w:rPr>
              <w:t>0</w:t>
            </w:r>
          </w:p>
        </w:tc>
      </w:tr>
    </w:tbl>
    <w:p w14:paraId="07A1CC21"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Program Income</w:t>
      </w:r>
    </w:p>
    <w:p w14:paraId="6520C1E9" w14:textId="77777777" w:rsidR="00A4199D" w:rsidRDefault="00A4199D">
      <w:pPr>
        <w:widowControl w:val="0"/>
        <w:spacing w:after="0" w:line="240" w:lineRule="auto"/>
        <w:rPr>
          <w:b/>
          <w:sz w:val="20"/>
          <w:szCs w:val="20"/>
        </w:rPr>
      </w:pPr>
    </w:p>
    <w:p w14:paraId="34BC0321" w14:textId="77777777" w:rsidR="00A4199D" w:rsidRDefault="00A4199D">
      <w:pPr>
        <w:widowControl w:val="0"/>
        <w:spacing w:after="0" w:line="240" w:lineRule="auto"/>
        <w:jc w:val="center"/>
        <w:rPr>
          <w:b/>
          <w:sz w:val="20"/>
          <w:szCs w:val="20"/>
        </w:rPr>
        <w:sectPr w:rsidR="00A4199D">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4199D" w14:paraId="03D4DC25" w14:textId="77777777">
        <w:tc>
          <w:tcPr>
            <w:tcW w:w="9576" w:type="dxa"/>
          </w:tcPr>
          <w:p w14:paraId="2BD0C9A7" w14:textId="77777777" w:rsidR="00A4199D" w:rsidRDefault="000B6150">
            <w:pPr>
              <w:keepNext/>
              <w:widowControl w:val="0"/>
              <w:spacing w:after="0" w:line="240" w:lineRule="auto"/>
              <w:rPr>
                <w:b/>
              </w:rPr>
            </w:pPr>
            <w:r>
              <w:rPr>
                <w:b/>
              </w:rPr>
              <w:lastRenderedPageBreak/>
              <w:t xml:space="preserve">Minority Business Enterprises and Women Business Enterprises – </w:t>
            </w:r>
            <w:r>
              <w:t>Indicate the number and dollar value of contracts for HOME projects completed during the reporting period</w:t>
            </w:r>
          </w:p>
        </w:tc>
      </w:tr>
    </w:tbl>
    <w:p w14:paraId="180E2E11" w14:textId="77777777" w:rsidR="00A4199D" w:rsidRDefault="00A4199D">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A4199D" w14:paraId="2FC5A887" w14:textId="77777777">
        <w:trPr>
          <w:cantSplit/>
        </w:trPr>
        <w:tc>
          <w:tcPr>
            <w:tcW w:w="1368" w:type="dxa"/>
            <w:vMerge w:val="restart"/>
          </w:tcPr>
          <w:p w14:paraId="730A059C" w14:textId="77777777" w:rsidR="00A4199D" w:rsidRDefault="00A4199D">
            <w:pPr>
              <w:keepNext/>
              <w:widowControl w:val="0"/>
              <w:spacing w:after="0" w:line="240" w:lineRule="auto"/>
              <w:rPr>
                <w:b/>
              </w:rPr>
            </w:pPr>
          </w:p>
        </w:tc>
        <w:tc>
          <w:tcPr>
            <w:tcW w:w="1368" w:type="dxa"/>
            <w:vMerge w:val="restart"/>
          </w:tcPr>
          <w:p w14:paraId="62861DCB" w14:textId="77777777" w:rsidR="00A4199D" w:rsidRDefault="000B6150">
            <w:pPr>
              <w:keepNext/>
              <w:widowControl w:val="0"/>
              <w:spacing w:after="0" w:line="240" w:lineRule="auto"/>
              <w:jc w:val="center"/>
              <w:rPr>
                <w:b/>
              </w:rPr>
            </w:pPr>
            <w:r>
              <w:rPr>
                <w:b/>
              </w:rPr>
              <w:t>Total</w:t>
            </w:r>
          </w:p>
        </w:tc>
        <w:tc>
          <w:tcPr>
            <w:tcW w:w="5472" w:type="dxa"/>
            <w:gridSpan w:val="4"/>
          </w:tcPr>
          <w:p w14:paraId="4E31D2C8" w14:textId="77777777" w:rsidR="00A4199D" w:rsidRDefault="000B6150">
            <w:pPr>
              <w:keepNext/>
              <w:widowControl w:val="0"/>
              <w:spacing w:after="0" w:line="240" w:lineRule="auto"/>
              <w:jc w:val="center"/>
              <w:rPr>
                <w:b/>
              </w:rPr>
            </w:pPr>
            <w:r>
              <w:rPr>
                <w:b/>
              </w:rPr>
              <w:t xml:space="preserve">Minority </w:t>
            </w:r>
            <w:r>
              <w:rPr>
                <w:b/>
              </w:rPr>
              <w:t>Business Enterprises</w:t>
            </w:r>
          </w:p>
        </w:tc>
        <w:tc>
          <w:tcPr>
            <w:tcW w:w="1368" w:type="dxa"/>
            <w:vMerge w:val="restart"/>
          </w:tcPr>
          <w:p w14:paraId="68701AEB" w14:textId="77777777" w:rsidR="00A4199D" w:rsidRDefault="000B6150">
            <w:pPr>
              <w:keepNext/>
              <w:widowControl w:val="0"/>
              <w:spacing w:after="0" w:line="240" w:lineRule="auto"/>
              <w:jc w:val="center"/>
              <w:rPr>
                <w:b/>
              </w:rPr>
            </w:pPr>
            <w:r>
              <w:rPr>
                <w:b/>
              </w:rPr>
              <w:t xml:space="preserve">White </w:t>
            </w:r>
            <w:proofErr w:type="gramStart"/>
            <w:r>
              <w:rPr>
                <w:b/>
              </w:rPr>
              <w:t>Non-Hispanic</w:t>
            </w:r>
            <w:proofErr w:type="gramEnd"/>
          </w:p>
        </w:tc>
      </w:tr>
      <w:tr w:rsidR="00A4199D" w14:paraId="2C74E0DB" w14:textId="77777777">
        <w:trPr>
          <w:cantSplit/>
        </w:trPr>
        <w:tc>
          <w:tcPr>
            <w:tcW w:w="1368" w:type="dxa"/>
            <w:vMerge/>
          </w:tcPr>
          <w:p w14:paraId="4CDEFFE2" w14:textId="77777777" w:rsidR="00A4199D" w:rsidRDefault="00A4199D">
            <w:pPr>
              <w:keepNext/>
              <w:widowControl w:val="0"/>
              <w:spacing w:after="0" w:line="240" w:lineRule="auto"/>
              <w:rPr>
                <w:b/>
              </w:rPr>
            </w:pPr>
          </w:p>
        </w:tc>
        <w:tc>
          <w:tcPr>
            <w:tcW w:w="1368" w:type="dxa"/>
            <w:vMerge/>
          </w:tcPr>
          <w:p w14:paraId="220B6DD3" w14:textId="77777777" w:rsidR="00A4199D" w:rsidRDefault="00A4199D">
            <w:pPr>
              <w:keepNext/>
              <w:widowControl w:val="0"/>
              <w:spacing w:after="0" w:line="240" w:lineRule="auto"/>
              <w:rPr>
                <w:b/>
              </w:rPr>
            </w:pPr>
          </w:p>
        </w:tc>
        <w:tc>
          <w:tcPr>
            <w:tcW w:w="1368" w:type="dxa"/>
          </w:tcPr>
          <w:p w14:paraId="2B8100A2" w14:textId="77777777" w:rsidR="00A4199D" w:rsidRDefault="000B6150">
            <w:pPr>
              <w:keepNext/>
              <w:spacing w:after="0" w:line="240" w:lineRule="auto"/>
              <w:jc w:val="center"/>
              <w:rPr>
                <w:b/>
              </w:rPr>
            </w:pPr>
            <w:r>
              <w:rPr>
                <w:b/>
              </w:rPr>
              <w:t>Alaskan Native or American Indian</w:t>
            </w:r>
          </w:p>
        </w:tc>
        <w:tc>
          <w:tcPr>
            <w:tcW w:w="1368" w:type="dxa"/>
          </w:tcPr>
          <w:p w14:paraId="0F021D8C" w14:textId="77777777" w:rsidR="00A4199D" w:rsidRDefault="000B6150">
            <w:pPr>
              <w:keepNext/>
              <w:widowControl w:val="0"/>
              <w:spacing w:after="0" w:line="240" w:lineRule="auto"/>
              <w:jc w:val="center"/>
              <w:rPr>
                <w:b/>
              </w:rPr>
            </w:pPr>
            <w:r>
              <w:rPr>
                <w:b/>
              </w:rPr>
              <w:t>Asian or Pacific Islander</w:t>
            </w:r>
          </w:p>
        </w:tc>
        <w:tc>
          <w:tcPr>
            <w:tcW w:w="1368" w:type="dxa"/>
          </w:tcPr>
          <w:p w14:paraId="5F343D67" w14:textId="77777777" w:rsidR="00A4199D" w:rsidRDefault="000B6150">
            <w:pPr>
              <w:keepNext/>
              <w:widowControl w:val="0"/>
              <w:spacing w:after="0" w:line="240" w:lineRule="auto"/>
              <w:jc w:val="center"/>
              <w:rPr>
                <w:b/>
              </w:rPr>
            </w:pPr>
            <w:r>
              <w:rPr>
                <w:b/>
              </w:rPr>
              <w:t xml:space="preserve">Black </w:t>
            </w:r>
            <w:proofErr w:type="gramStart"/>
            <w:r>
              <w:rPr>
                <w:b/>
              </w:rPr>
              <w:t>Non-Hispanic</w:t>
            </w:r>
            <w:proofErr w:type="gramEnd"/>
          </w:p>
        </w:tc>
        <w:tc>
          <w:tcPr>
            <w:tcW w:w="1368" w:type="dxa"/>
          </w:tcPr>
          <w:p w14:paraId="72248570" w14:textId="77777777" w:rsidR="00A4199D" w:rsidRDefault="000B6150">
            <w:pPr>
              <w:keepNext/>
              <w:widowControl w:val="0"/>
              <w:spacing w:after="0" w:line="240" w:lineRule="auto"/>
              <w:jc w:val="center"/>
              <w:rPr>
                <w:b/>
              </w:rPr>
            </w:pPr>
            <w:r>
              <w:rPr>
                <w:b/>
              </w:rPr>
              <w:t>Hispanic</w:t>
            </w:r>
          </w:p>
        </w:tc>
        <w:tc>
          <w:tcPr>
            <w:tcW w:w="1368" w:type="dxa"/>
            <w:vMerge/>
          </w:tcPr>
          <w:p w14:paraId="7E1FFE8A" w14:textId="77777777" w:rsidR="00A4199D" w:rsidRDefault="00A4199D">
            <w:pPr>
              <w:keepNext/>
              <w:widowControl w:val="0"/>
              <w:spacing w:after="0" w:line="240" w:lineRule="auto"/>
              <w:jc w:val="center"/>
              <w:rPr>
                <w:b/>
              </w:rPr>
            </w:pPr>
          </w:p>
        </w:tc>
      </w:tr>
    </w:tbl>
    <w:p w14:paraId="1AE2FA9E" w14:textId="77777777" w:rsidR="00A4199D" w:rsidRDefault="00A4199D">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A4199D" w14:paraId="13002674" w14:textId="77777777">
        <w:trPr>
          <w:cantSplit/>
        </w:trPr>
        <w:tc>
          <w:tcPr>
            <w:tcW w:w="9576" w:type="dxa"/>
            <w:gridSpan w:val="7"/>
          </w:tcPr>
          <w:p w14:paraId="10B536B3" w14:textId="77777777" w:rsidR="00A4199D" w:rsidRDefault="000B6150">
            <w:pPr>
              <w:keepNext/>
              <w:widowControl w:val="0"/>
              <w:spacing w:after="0" w:line="240" w:lineRule="auto"/>
              <w:rPr>
                <w:b/>
              </w:rPr>
            </w:pPr>
            <w:r>
              <w:rPr>
                <w:b/>
              </w:rPr>
              <w:t>Contracts</w:t>
            </w:r>
          </w:p>
        </w:tc>
      </w:tr>
      <w:tr w:rsidR="00A4199D" w14:paraId="4939C82B" w14:textId="77777777">
        <w:trPr>
          <w:cantSplit/>
          <w:hidden/>
        </w:trPr>
        <w:tc>
          <w:tcPr>
            <w:tcW w:w="1368" w:type="dxa"/>
          </w:tcPr>
          <w:p w14:paraId="07CFF72D" w14:textId="77777777" w:rsidR="00A4199D" w:rsidRDefault="00A4199D">
            <w:pPr>
              <w:keepNext/>
              <w:widowControl w:val="0"/>
              <w:spacing w:after="0" w:line="240" w:lineRule="auto"/>
              <w:rPr>
                <w:b/>
                <w:vanish/>
              </w:rPr>
            </w:pPr>
          </w:p>
        </w:tc>
        <w:tc>
          <w:tcPr>
            <w:tcW w:w="1368" w:type="dxa"/>
          </w:tcPr>
          <w:p w14:paraId="504A3451" w14:textId="77777777" w:rsidR="00A4199D" w:rsidRDefault="00A4199D">
            <w:pPr>
              <w:keepNext/>
              <w:widowControl w:val="0"/>
              <w:spacing w:after="0" w:line="240" w:lineRule="auto"/>
              <w:rPr>
                <w:b/>
                <w:vanish/>
              </w:rPr>
            </w:pPr>
          </w:p>
        </w:tc>
        <w:tc>
          <w:tcPr>
            <w:tcW w:w="1368" w:type="dxa"/>
          </w:tcPr>
          <w:p w14:paraId="49C5DF64" w14:textId="77777777" w:rsidR="00A4199D" w:rsidRDefault="00A4199D">
            <w:pPr>
              <w:keepNext/>
              <w:widowControl w:val="0"/>
              <w:spacing w:after="0" w:line="240" w:lineRule="auto"/>
              <w:rPr>
                <w:b/>
                <w:vanish/>
              </w:rPr>
            </w:pPr>
          </w:p>
        </w:tc>
        <w:tc>
          <w:tcPr>
            <w:tcW w:w="1368" w:type="dxa"/>
          </w:tcPr>
          <w:p w14:paraId="4717E29C" w14:textId="77777777" w:rsidR="00A4199D" w:rsidRDefault="00A4199D">
            <w:pPr>
              <w:keepNext/>
              <w:widowControl w:val="0"/>
              <w:spacing w:after="0" w:line="240" w:lineRule="auto"/>
              <w:rPr>
                <w:b/>
                <w:vanish/>
              </w:rPr>
            </w:pPr>
          </w:p>
        </w:tc>
        <w:tc>
          <w:tcPr>
            <w:tcW w:w="1368" w:type="dxa"/>
          </w:tcPr>
          <w:p w14:paraId="7A5D47FF" w14:textId="77777777" w:rsidR="00A4199D" w:rsidRDefault="00A4199D">
            <w:pPr>
              <w:keepNext/>
              <w:widowControl w:val="0"/>
              <w:spacing w:after="0" w:line="240" w:lineRule="auto"/>
              <w:rPr>
                <w:b/>
                <w:vanish/>
              </w:rPr>
            </w:pPr>
          </w:p>
        </w:tc>
        <w:tc>
          <w:tcPr>
            <w:tcW w:w="1368" w:type="dxa"/>
          </w:tcPr>
          <w:p w14:paraId="679FECDB" w14:textId="77777777" w:rsidR="00A4199D" w:rsidRDefault="00A4199D">
            <w:pPr>
              <w:keepNext/>
              <w:widowControl w:val="0"/>
              <w:spacing w:after="0" w:line="240" w:lineRule="auto"/>
              <w:rPr>
                <w:b/>
                <w:vanish/>
              </w:rPr>
            </w:pPr>
          </w:p>
        </w:tc>
        <w:tc>
          <w:tcPr>
            <w:tcW w:w="1368" w:type="dxa"/>
          </w:tcPr>
          <w:p w14:paraId="7D4E8B0F" w14:textId="77777777" w:rsidR="00A4199D" w:rsidRDefault="00A4199D">
            <w:pPr>
              <w:keepNext/>
              <w:widowControl w:val="0"/>
              <w:spacing w:after="0" w:line="240" w:lineRule="auto"/>
              <w:rPr>
                <w:b/>
                <w:vanish/>
              </w:rPr>
            </w:pPr>
          </w:p>
        </w:tc>
      </w:tr>
      <w:tr w:rsidR="00A4199D" w14:paraId="617CEDB2" w14:textId="77777777">
        <w:trPr>
          <w:cantSplit/>
        </w:trPr>
        <w:tc>
          <w:tcPr>
            <w:tcW w:w="1370" w:type="dxa"/>
          </w:tcPr>
          <w:p w14:paraId="48C0EE11" w14:textId="77777777" w:rsidR="00A4199D" w:rsidRDefault="000B6150">
            <w:pPr>
              <w:spacing w:beforeAutospacing="1" w:afterAutospacing="1"/>
            </w:pPr>
            <w:r>
              <w:rPr>
                <w:color w:val="000000"/>
              </w:rPr>
              <w:t>Dollar Amount</w:t>
            </w:r>
          </w:p>
        </w:tc>
        <w:tc>
          <w:tcPr>
            <w:tcW w:w="1370" w:type="dxa"/>
            <w:vAlign w:val="bottom"/>
          </w:tcPr>
          <w:p w14:paraId="2C79D0DA" w14:textId="77777777" w:rsidR="00A4199D" w:rsidRDefault="000B6150">
            <w:pPr>
              <w:spacing w:beforeAutospacing="1" w:afterAutospacing="1"/>
              <w:jc w:val="right"/>
            </w:pPr>
            <w:r>
              <w:rPr>
                <w:color w:val="000000"/>
              </w:rPr>
              <w:t>0</w:t>
            </w:r>
          </w:p>
        </w:tc>
        <w:tc>
          <w:tcPr>
            <w:tcW w:w="1370" w:type="dxa"/>
            <w:vAlign w:val="bottom"/>
          </w:tcPr>
          <w:p w14:paraId="584E0A65" w14:textId="77777777" w:rsidR="00A4199D" w:rsidRDefault="000B6150">
            <w:pPr>
              <w:spacing w:beforeAutospacing="1" w:afterAutospacing="1"/>
              <w:jc w:val="right"/>
            </w:pPr>
            <w:r>
              <w:rPr>
                <w:color w:val="000000"/>
              </w:rPr>
              <w:t>0</w:t>
            </w:r>
          </w:p>
        </w:tc>
        <w:tc>
          <w:tcPr>
            <w:tcW w:w="1370" w:type="dxa"/>
            <w:vAlign w:val="bottom"/>
          </w:tcPr>
          <w:p w14:paraId="44F19E4E" w14:textId="77777777" w:rsidR="00A4199D" w:rsidRDefault="000B6150">
            <w:pPr>
              <w:spacing w:beforeAutospacing="1" w:afterAutospacing="1"/>
              <w:jc w:val="right"/>
            </w:pPr>
            <w:r>
              <w:rPr>
                <w:color w:val="000000"/>
              </w:rPr>
              <w:t>0</w:t>
            </w:r>
          </w:p>
        </w:tc>
        <w:tc>
          <w:tcPr>
            <w:tcW w:w="1370" w:type="dxa"/>
            <w:vAlign w:val="bottom"/>
          </w:tcPr>
          <w:p w14:paraId="0452F978" w14:textId="77777777" w:rsidR="00A4199D" w:rsidRDefault="000B6150">
            <w:pPr>
              <w:spacing w:beforeAutospacing="1" w:afterAutospacing="1"/>
              <w:jc w:val="right"/>
            </w:pPr>
            <w:r>
              <w:rPr>
                <w:color w:val="000000"/>
              </w:rPr>
              <w:t>0</w:t>
            </w:r>
          </w:p>
        </w:tc>
        <w:tc>
          <w:tcPr>
            <w:tcW w:w="1370" w:type="dxa"/>
            <w:vAlign w:val="bottom"/>
          </w:tcPr>
          <w:p w14:paraId="7E392FFB" w14:textId="77777777" w:rsidR="00A4199D" w:rsidRDefault="000B6150">
            <w:pPr>
              <w:spacing w:beforeAutospacing="1" w:afterAutospacing="1"/>
              <w:jc w:val="right"/>
            </w:pPr>
            <w:r>
              <w:rPr>
                <w:color w:val="000000"/>
              </w:rPr>
              <w:t>0</w:t>
            </w:r>
          </w:p>
        </w:tc>
        <w:tc>
          <w:tcPr>
            <w:tcW w:w="1370" w:type="dxa"/>
            <w:vAlign w:val="bottom"/>
          </w:tcPr>
          <w:p w14:paraId="72F2A3A5" w14:textId="77777777" w:rsidR="00A4199D" w:rsidRDefault="000B6150">
            <w:pPr>
              <w:spacing w:beforeAutospacing="1" w:afterAutospacing="1"/>
              <w:jc w:val="right"/>
            </w:pPr>
            <w:r>
              <w:rPr>
                <w:color w:val="000000"/>
              </w:rPr>
              <w:t>0</w:t>
            </w:r>
          </w:p>
        </w:tc>
      </w:tr>
      <w:tr w:rsidR="00A4199D" w14:paraId="477EB211" w14:textId="77777777">
        <w:trPr>
          <w:cantSplit/>
        </w:trPr>
        <w:tc>
          <w:tcPr>
            <w:tcW w:w="1370" w:type="dxa"/>
          </w:tcPr>
          <w:p w14:paraId="10B7B024" w14:textId="77777777" w:rsidR="00A4199D" w:rsidRDefault="000B6150">
            <w:pPr>
              <w:spacing w:beforeAutospacing="1" w:afterAutospacing="1"/>
            </w:pPr>
            <w:r>
              <w:rPr>
                <w:color w:val="000000"/>
              </w:rPr>
              <w:t>Number</w:t>
            </w:r>
          </w:p>
        </w:tc>
        <w:tc>
          <w:tcPr>
            <w:tcW w:w="1370" w:type="dxa"/>
            <w:vAlign w:val="bottom"/>
          </w:tcPr>
          <w:p w14:paraId="71ED0CD2" w14:textId="77777777" w:rsidR="00A4199D" w:rsidRDefault="000B6150">
            <w:pPr>
              <w:spacing w:beforeAutospacing="1" w:afterAutospacing="1"/>
              <w:jc w:val="right"/>
            </w:pPr>
            <w:r>
              <w:rPr>
                <w:color w:val="000000"/>
              </w:rPr>
              <w:t>0</w:t>
            </w:r>
          </w:p>
        </w:tc>
        <w:tc>
          <w:tcPr>
            <w:tcW w:w="1370" w:type="dxa"/>
            <w:vAlign w:val="bottom"/>
          </w:tcPr>
          <w:p w14:paraId="2E11D9E3" w14:textId="77777777" w:rsidR="00A4199D" w:rsidRDefault="000B6150">
            <w:pPr>
              <w:spacing w:beforeAutospacing="1" w:afterAutospacing="1"/>
              <w:jc w:val="right"/>
            </w:pPr>
            <w:r>
              <w:rPr>
                <w:color w:val="000000"/>
              </w:rPr>
              <w:t>0</w:t>
            </w:r>
          </w:p>
        </w:tc>
        <w:tc>
          <w:tcPr>
            <w:tcW w:w="1370" w:type="dxa"/>
            <w:vAlign w:val="bottom"/>
          </w:tcPr>
          <w:p w14:paraId="7DE0AE35" w14:textId="77777777" w:rsidR="00A4199D" w:rsidRDefault="000B6150">
            <w:pPr>
              <w:spacing w:beforeAutospacing="1" w:afterAutospacing="1"/>
              <w:jc w:val="right"/>
            </w:pPr>
            <w:r>
              <w:rPr>
                <w:color w:val="000000"/>
              </w:rPr>
              <w:t>0</w:t>
            </w:r>
          </w:p>
        </w:tc>
        <w:tc>
          <w:tcPr>
            <w:tcW w:w="1370" w:type="dxa"/>
            <w:vAlign w:val="bottom"/>
          </w:tcPr>
          <w:p w14:paraId="2F8811CE" w14:textId="77777777" w:rsidR="00A4199D" w:rsidRDefault="000B6150">
            <w:pPr>
              <w:spacing w:beforeAutospacing="1" w:afterAutospacing="1"/>
              <w:jc w:val="right"/>
            </w:pPr>
            <w:r>
              <w:rPr>
                <w:color w:val="000000"/>
              </w:rPr>
              <w:t>0</w:t>
            </w:r>
          </w:p>
        </w:tc>
        <w:tc>
          <w:tcPr>
            <w:tcW w:w="1370" w:type="dxa"/>
            <w:vAlign w:val="bottom"/>
          </w:tcPr>
          <w:p w14:paraId="121FCAB4" w14:textId="77777777" w:rsidR="00A4199D" w:rsidRDefault="000B6150">
            <w:pPr>
              <w:spacing w:beforeAutospacing="1" w:afterAutospacing="1"/>
              <w:jc w:val="right"/>
            </w:pPr>
            <w:r>
              <w:rPr>
                <w:color w:val="000000"/>
              </w:rPr>
              <w:t>0</w:t>
            </w:r>
          </w:p>
        </w:tc>
        <w:tc>
          <w:tcPr>
            <w:tcW w:w="1370" w:type="dxa"/>
            <w:vAlign w:val="bottom"/>
          </w:tcPr>
          <w:p w14:paraId="68B01E13" w14:textId="77777777" w:rsidR="00A4199D" w:rsidRDefault="000B6150">
            <w:pPr>
              <w:spacing w:beforeAutospacing="1" w:afterAutospacing="1"/>
              <w:jc w:val="right"/>
            </w:pPr>
            <w:r>
              <w:rPr>
                <w:color w:val="000000"/>
              </w:rPr>
              <w:t>0</w:t>
            </w:r>
          </w:p>
        </w:tc>
      </w:tr>
    </w:tbl>
    <w:p w14:paraId="628216FB" w14:textId="77777777" w:rsidR="00A4199D" w:rsidRDefault="00A4199D">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A4199D" w14:paraId="4A568BD9" w14:textId="77777777">
        <w:trPr>
          <w:cantSplit/>
        </w:trPr>
        <w:tc>
          <w:tcPr>
            <w:tcW w:w="9576" w:type="dxa"/>
            <w:gridSpan w:val="7"/>
          </w:tcPr>
          <w:p w14:paraId="33B88F19" w14:textId="77777777" w:rsidR="00A4199D" w:rsidRDefault="000B6150">
            <w:pPr>
              <w:keepNext/>
              <w:widowControl w:val="0"/>
              <w:spacing w:after="0" w:line="240" w:lineRule="auto"/>
              <w:rPr>
                <w:b/>
              </w:rPr>
            </w:pPr>
            <w:r>
              <w:rPr>
                <w:b/>
              </w:rPr>
              <w:t>Sub-Contracts</w:t>
            </w:r>
          </w:p>
        </w:tc>
      </w:tr>
      <w:tr w:rsidR="00A4199D" w14:paraId="5536FE0C" w14:textId="77777777">
        <w:trPr>
          <w:cantSplit/>
          <w:hidden/>
        </w:trPr>
        <w:tc>
          <w:tcPr>
            <w:tcW w:w="1368" w:type="dxa"/>
          </w:tcPr>
          <w:p w14:paraId="753FCE88" w14:textId="77777777" w:rsidR="00A4199D" w:rsidRDefault="00A4199D">
            <w:pPr>
              <w:keepNext/>
              <w:widowControl w:val="0"/>
              <w:spacing w:after="0" w:line="240" w:lineRule="auto"/>
              <w:rPr>
                <w:b/>
                <w:vanish/>
              </w:rPr>
            </w:pPr>
          </w:p>
        </w:tc>
        <w:tc>
          <w:tcPr>
            <w:tcW w:w="1368" w:type="dxa"/>
          </w:tcPr>
          <w:p w14:paraId="2BE33B48" w14:textId="77777777" w:rsidR="00A4199D" w:rsidRDefault="00A4199D">
            <w:pPr>
              <w:keepNext/>
              <w:widowControl w:val="0"/>
              <w:spacing w:after="0" w:line="240" w:lineRule="auto"/>
              <w:rPr>
                <w:b/>
                <w:vanish/>
              </w:rPr>
            </w:pPr>
          </w:p>
        </w:tc>
        <w:tc>
          <w:tcPr>
            <w:tcW w:w="1368" w:type="dxa"/>
          </w:tcPr>
          <w:p w14:paraId="47660702" w14:textId="77777777" w:rsidR="00A4199D" w:rsidRDefault="00A4199D">
            <w:pPr>
              <w:keepNext/>
              <w:widowControl w:val="0"/>
              <w:spacing w:after="0" w:line="240" w:lineRule="auto"/>
              <w:rPr>
                <w:b/>
                <w:vanish/>
              </w:rPr>
            </w:pPr>
          </w:p>
        </w:tc>
        <w:tc>
          <w:tcPr>
            <w:tcW w:w="1368" w:type="dxa"/>
          </w:tcPr>
          <w:p w14:paraId="3027A701" w14:textId="77777777" w:rsidR="00A4199D" w:rsidRDefault="00A4199D">
            <w:pPr>
              <w:keepNext/>
              <w:widowControl w:val="0"/>
              <w:spacing w:after="0" w:line="240" w:lineRule="auto"/>
              <w:rPr>
                <w:b/>
                <w:vanish/>
              </w:rPr>
            </w:pPr>
          </w:p>
        </w:tc>
        <w:tc>
          <w:tcPr>
            <w:tcW w:w="1368" w:type="dxa"/>
          </w:tcPr>
          <w:p w14:paraId="7C3E8B94" w14:textId="77777777" w:rsidR="00A4199D" w:rsidRDefault="00A4199D">
            <w:pPr>
              <w:keepNext/>
              <w:widowControl w:val="0"/>
              <w:spacing w:after="0" w:line="240" w:lineRule="auto"/>
              <w:rPr>
                <w:b/>
                <w:vanish/>
              </w:rPr>
            </w:pPr>
          </w:p>
        </w:tc>
        <w:tc>
          <w:tcPr>
            <w:tcW w:w="1368" w:type="dxa"/>
          </w:tcPr>
          <w:p w14:paraId="067DB224" w14:textId="77777777" w:rsidR="00A4199D" w:rsidRDefault="00A4199D">
            <w:pPr>
              <w:keepNext/>
              <w:widowControl w:val="0"/>
              <w:spacing w:after="0" w:line="240" w:lineRule="auto"/>
              <w:rPr>
                <w:b/>
                <w:vanish/>
              </w:rPr>
            </w:pPr>
          </w:p>
        </w:tc>
        <w:tc>
          <w:tcPr>
            <w:tcW w:w="1368" w:type="dxa"/>
          </w:tcPr>
          <w:p w14:paraId="1F27CED8" w14:textId="77777777" w:rsidR="00A4199D" w:rsidRDefault="00A4199D">
            <w:pPr>
              <w:keepNext/>
              <w:widowControl w:val="0"/>
              <w:spacing w:after="0" w:line="240" w:lineRule="auto"/>
              <w:rPr>
                <w:b/>
                <w:vanish/>
              </w:rPr>
            </w:pPr>
          </w:p>
        </w:tc>
      </w:tr>
      <w:tr w:rsidR="00A4199D" w14:paraId="5D75A1FA" w14:textId="77777777">
        <w:trPr>
          <w:cantSplit/>
        </w:trPr>
        <w:tc>
          <w:tcPr>
            <w:tcW w:w="1370" w:type="dxa"/>
          </w:tcPr>
          <w:p w14:paraId="39BCFA6F" w14:textId="77777777" w:rsidR="00A4199D" w:rsidRDefault="000B6150">
            <w:pPr>
              <w:spacing w:beforeAutospacing="1" w:afterAutospacing="1"/>
            </w:pPr>
            <w:r>
              <w:rPr>
                <w:color w:val="000000"/>
              </w:rPr>
              <w:t>Number</w:t>
            </w:r>
          </w:p>
        </w:tc>
        <w:tc>
          <w:tcPr>
            <w:tcW w:w="1370" w:type="dxa"/>
            <w:vAlign w:val="bottom"/>
          </w:tcPr>
          <w:p w14:paraId="21E059A1" w14:textId="77777777" w:rsidR="00A4199D" w:rsidRDefault="000B6150">
            <w:pPr>
              <w:spacing w:beforeAutospacing="1" w:afterAutospacing="1"/>
              <w:jc w:val="right"/>
            </w:pPr>
            <w:r>
              <w:rPr>
                <w:color w:val="000000"/>
              </w:rPr>
              <w:t>0</w:t>
            </w:r>
          </w:p>
        </w:tc>
        <w:tc>
          <w:tcPr>
            <w:tcW w:w="1370" w:type="dxa"/>
            <w:vAlign w:val="bottom"/>
          </w:tcPr>
          <w:p w14:paraId="36DB3F25" w14:textId="77777777" w:rsidR="00A4199D" w:rsidRDefault="000B6150">
            <w:pPr>
              <w:spacing w:beforeAutospacing="1" w:afterAutospacing="1"/>
              <w:jc w:val="right"/>
            </w:pPr>
            <w:r>
              <w:rPr>
                <w:color w:val="000000"/>
              </w:rPr>
              <w:t>0</w:t>
            </w:r>
          </w:p>
        </w:tc>
        <w:tc>
          <w:tcPr>
            <w:tcW w:w="1370" w:type="dxa"/>
            <w:vAlign w:val="bottom"/>
          </w:tcPr>
          <w:p w14:paraId="14123720" w14:textId="77777777" w:rsidR="00A4199D" w:rsidRDefault="000B6150">
            <w:pPr>
              <w:spacing w:beforeAutospacing="1" w:afterAutospacing="1"/>
              <w:jc w:val="right"/>
            </w:pPr>
            <w:r>
              <w:rPr>
                <w:color w:val="000000"/>
              </w:rPr>
              <w:t>0</w:t>
            </w:r>
          </w:p>
        </w:tc>
        <w:tc>
          <w:tcPr>
            <w:tcW w:w="1370" w:type="dxa"/>
            <w:vAlign w:val="bottom"/>
          </w:tcPr>
          <w:p w14:paraId="19D98172" w14:textId="77777777" w:rsidR="00A4199D" w:rsidRDefault="000B6150">
            <w:pPr>
              <w:spacing w:beforeAutospacing="1" w:afterAutospacing="1"/>
              <w:jc w:val="right"/>
            </w:pPr>
            <w:r>
              <w:rPr>
                <w:color w:val="000000"/>
              </w:rPr>
              <w:t>0</w:t>
            </w:r>
          </w:p>
        </w:tc>
        <w:tc>
          <w:tcPr>
            <w:tcW w:w="1370" w:type="dxa"/>
            <w:vAlign w:val="bottom"/>
          </w:tcPr>
          <w:p w14:paraId="4847BC71" w14:textId="77777777" w:rsidR="00A4199D" w:rsidRDefault="000B6150">
            <w:pPr>
              <w:spacing w:beforeAutospacing="1" w:afterAutospacing="1"/>
              <w:jc w:val="right"/>
            </w:pPr>
            <w:r>
              <w:rPr>
                <w:color w:val="000000"/>
              </w:rPr>
              <w:t>0</w:t>
            </w:r>
          </w:p>
        </w:tc>
        <w:tc>
          <w:tcPr>
            <w:tcW w:w="1370" w:type="dxa"/>
            <w:vAlign w:val="bottom"/>
          </w:tcPr>
          <w:p w14:paraId="03152694" w14:textId="77777777" w:rsidR="00A4199D" w:rsidRDefault="000B6150">
            <w:pPr>
              <w:spacing w:beforeAutospacing="1" w:afterAutospacing="1"/>
              <w:jc w:val="right"/>
            </w:pPr>
            <w:r>
              <w:rPr>
                <w:color w:val="000000"/>
              </w:rPr>
              <w:t>0</w:t>
            </w:r>
          </w:p>
        </w:tc>
      </w:tr>
      <w:tr w:rsidR="00A4199D" w14:paraId="311FD79F" w14:textId="77777777">
        <w:trPr>
          <w:cantSplit/>
        </w:trPr>
        <w:tc>
          <w:tcPr>
            <w:tcW w:w="1370" w:type="dxa"/>
          </w:tcPr>
          <w:p w14:paraId="04D3E618" w14:textId="77777777" w:rsidR="00A4199D" w:rsidRDefault="000B6150">
            <w:pPr>
              <w:spacing w:beforeAutospacing="1" w:afterAutospacing="1"/>
            </w:pPr>
            <w:r>
              <w:rPr>
                <w:color w:val="000000"/>
              </w:rPr>
              <w:t>Dollar Amount</w:t>
            </w:r>
          </w:p>
        </w:tc>
        <w:tc>
          <w:tcPr>
            <w:tcW w:w="1370" w:type="dxa"/>
            <w:vAlign w:val="bottom"/>
          </w:tcPr>
          <w:p w14:paraId="502ECAE9" w14:textId="77777777" w:rsidR="00A4199D" w:rsidRDefault="000B6150">
            <w:pPr>
              <w:spacing w:beforeAutospacing="1" w:afterAutospacing="1"/>
              <w:jc w:val="right"/>
            </w:pPr>
            <w:r>
              <w:rPr>
                <w:color w:val="000000"/>
              </w:rPr>
              <w:t>0</w:t>
            </w:r>
          </w:p>
        </w:tc>
        <w:tc>
          <w:tcPr>
            <w:tcW w:w="1370" w:type="dxa"/>
            <w:vAlign w:val="bottom"/>
          </w:tcPr>
          <w:p w14:paraId="2E2B1C38" w14:textId="77777777" w:rsidR="00A4199D" w:rsidRDefault="000B6150">
            <w:pPr>
              <w:spacing w:beforeAutospacing="1" w:afterAutospacing="1"/>
              <w:jc w:val="right"/>
            </w:pPr>
            <w:r>
              <w:rPr>
                <w:color w:val="000000"/>
              </w:rPr>
              <w:t>0</w:t>
            </w:r>
          </w:p>
        </w:tc>
        <w:tc>
          <w:tcPr>
            <w:tcW w:w="1370" w:type="dxa"/>
            <w:vAlign w:val="bottom"/>
          </w:tcPr>
          <w:p w14:paraId="46E66670" w14:textId="77777777" w:rsidR="00A4199D" w:rsidRDefault="000B6150">
            <w:pPr>
              <w:spacing w:beforeAutospacing="1" w:afterAutospacing="1"/>
              <w:jc w:val="right"/>
            </w:pPr>
            <w:r>
              <w:rPr>
                <w:color w:val="000000"/>
              </w:rPr>
              <w:t>0</w:t>
            </w:r>
          </w:p>
        </w:tc>
        <w:tc>
          <w:tcPr>
            <w:tcW w:w="1370" w:type="dxa"/>
            <w:vAlign w:val="bottom"/>
          </w:tcPr>
          <w:p w14:paraId="0FF4A537" w14:textId="77777777" w:rsidR="00A4199D" w:rsidRDefault="000B6150">
            <w:pPr>
              <w:spacing w:beforeAutospacing="1" w:afterAutospacing="1"/>
              <w:jc w:val="right"/>
            </w:pPr>
            <w:r>
              <w:rPr>
                <w:color w:val="000000"/>
              </w:rPr>
              <w:t>0</w:t>
            </w:r>
          </w:p>
        </w:tc>
        <w:tc>
          <w:tcPr>
            <w:tcW w:w="1370" w:type="dxa"/>
            <w:vAlign w:val="bottom"/>
          </w:tcPr>
          <w:p w14:paraId="3772F03E" w14:textId="77777777" w:rsidR="00A4199D" w:rsidRDefault="000B6150">
            <w:pPr>
              <w:spacing w:beforeAutospacing="1" w:afterAutospacing="1"/>
              <w:jc w:val="right"/>
            </w:pPr>
            <w:r>
              <w:rPr>
                <w:color w:val="000000"/>
              </w:rPr>
              <w:t>0</w:t>
            </w:r>
          </w:p>
        </w:tc>
        <w:tc>
          <w:tcPr>
            <w:tcW w:w="1370" w:type="dxa"/>
            <w:vAlign w:val="bottom"/>
          </w:tcPr>
          <w:p w14:paraId="4F775C61" w14:textId="77777777" w:rsidR="00A4199D" w:rsidRDefault="000B6150">
            <w:pPr>
              <w:spacing w:beforeAutospacing="1" w:afterAutospacing="1"/>
              <w:jc w:val="right"/>
            </w:pPr>
            <w:r>
              <w:rPr>
                <w:color w:val="000000"/>
              </w:rPr>
              <w:t>0</w:t>
            </w:r>
          </w:p>
        </w:tc>
      </w:tr>
    </w:tbl>
    <w:p w14:paraId="2D9FB532" w14:textId="77777777" w:rsidR="00A4199D" w:rsidRDefault="00A4199D">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A4199D" w14:paraId="24D012CF" w14:textId="77777777">
        <w:trPr>
          <w:cantSplit/>
        </w:trPr>
        <w:tc>
          <w:tcPr>
            <w:tcW w:w="1394" w:type="dxa"/>
          </w:tcPr>
          <w:p w14:paraId="62F70F1C" w14:textId="77777777" w:rsidR="00A4199D" w:rsidRDefault="00A4199D">
            <w:pPr>
              <w:keepNext/>
              <w:widowControl w:val="0"/>
              <w:spacing w:after="0" w:line="240" w:lineRule="auto"/>
              <w:rPr>
                <w:b/>
              </w:rPr>
            </w:pPr>
          </w:p>
        </w:tc>
        <w:tc>
          <w:tcPr>
            <w:tcW w:w="1393" w:type="dxa"/>
          </w:tcPr>
          <w:p w14:paraId="3B0B9E1B" w14:textId="77777777" w:rsidR="00A4199D" w:rsidRDefault="000B6150">
            <w:pPr>
              <w:keepNext/>
              <w:widowControl w:val="0"/>
              <w:spacing w:after="0" w:line="240" w:lineRule="auto"/>
              <w:jc w:val="center"/>
              <w:rPr>
                <w:b/>
              </w:rPr>
            </w:pPr>
            <w:r>
              <w:rPr>
                <w:b/>
              </w:rPr>
              <w:t>Total</w:t>
            </w:r>
          </w:p>
        </w:tc>
        <w:tc>
          <w:tcPr>
            <w:tcW w:w="1393" w:type="dxa"/>
          </w:tcPr>
          <w:p w14:paraId="47BD5217" w14:textId="77777777" w:rsidR="00A4199D" w:rsidRDefault="000B6150">
            <w:pPr>
              <w:keepNext/>
              <w:widowControl w:val="0"/>
              <w:spacing w:after="0" w:line="240" w:lineRule="auto"/>
              <w:jc w:val="center"/>
              <w:rPr>
                <w:b/>
                <w:szCs w:val="24"/>
              </w:rPr>
            </w:pPr>
            <w:r>
              <w:rPr>
                <w:b/>
              </w:rPr>
              <w:t>Women Business Enterprises</w:t>
            </w:r>
          </w:p>
        </w:tc>
        <w:tc>
          <w:tcPr>
            <w:tcW w:w="1393" w:type="dxa"/>
          </w:tcPr>
          <w:p w14:paraId="450325DB" w14:textId="77777777" w:rsidR="00A4199D" w:rsidRDefault="000B6150">
            <w:pPr>
              <w:keepNext/>
              <w:widowControl w:val="0"/>
              <w:spacing w:after="0" w:line="240" w:lineRule="auto"/>
              <w:jc w:val="center"/>
              <w:rPr>
                <w:b/>
                <w:szCs w:val="24"/>
              </w:rPr>
            </w:pPr>
            <w:r>
              <w:rPr>
                <w:b/>
              </w:rPr>
              <w:t>Male</w:t>
            </w:r>
          </w:p>
        </w:tc>
      </w:tr>
    </w:tbl>
    <w:p w14:paraId="5D6E5747" w14:textId="77777777" w:rsidR="00A4199D" w:rsidRDefault="00A4199D">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A4199D" w14:paraId="2E575FA4" w14:textId="77777777">
        <w:trPr>
          <w:cantSplit/>
        </w:trPr>
        <w:tc>
          <w:tcPr>
            <w:tcW w:w="5485" w:type="dxa"/>
            <w:gridSpan w:val="4"/>
          </w:tcPr>
          <w:p w14:paraId="6D1734F4" w14:textId="77777777" w:rsidR="00A4199D" w:rsidRDefault="000B6150">
            <w:pPr>
              <w:keepNext/>
              <w:widowControl w:val="0"/>
              <w:spacing w:after="0" w:line="240" w:lineRule="auto"/>
              <w:rPr>
                <w:b/>
              </w:rPr>
            </w:pPr>
            <w:r>
              <w:rPr>
                <w:b/>
              </w:rPr>
              <w:t>Contracts</w:t>
            </w:r>
          </w:p>
        </w:tc>
      </w:tr>
      <w:tr w:rsidR="00A4199D" w14:paraId="37E5CA74" w14:textId="77777777">
        <w:trPr>
          <w:cantSplit/>
          <w:hidden/>
        </w:trPr>
        <w:tc>
          <w:tcPr>
            <w:tcW w:w="1393" w:type="dxa"/>
          </w:tcPr>
          <w:p w14:paraId="68FCD8BD" w14:textId="77777777" w:rsidR="00A4199D" w:rsidRDefault="00A4199D">
            <w:pPr>
              <w:keepNext/>
              <w:widowControl w:val="0"/>
              <w:spacing w:after="0" w:line="240" w:lineRule="auto"/>
              <w:rPr>
                <w:b/>
                <w:vanish/>
              </w:rPr>
            </w:pPr>
          </w:p>
        </w:tc>
        <w:tc>
          <w:tcPr>
            <w:tcW w:w="1364" w:type="dxa"/>
          </w:tcPr>
          <w:p w14:paraId="4713B369" w14:textId="77777777" w:rsidR="00A4199D" w:rsidRDefault="00A4199D">
            <w:pPr>
              <w:keepNext/>
              <w:widowControl w:val="0"/>
              <w:spacing w:after="0" w:line="240" w:lineRule="auto"/>
              <w:rPr>
                <w:b/>
                <w:vanish/>
              </w:rPr>
            </w:pPr>
          </w:p>
        </w:tc>
        <w:tc>
          <w:tcPr>
            <w:tcW w:w="1364" w:type="dxa"/>
          </w:tcPr>
          <w:p w14:paraId="59D69A6F" w14:textId="77777777" w:rsidR="00A4199D" w:rsidRDefault="00A4199D">
            <w:pPr>
              <w:keepNext/>
              <w:widowControl w:val="0"/>
              <w:spacing w:after="0" w:line="240" w:lineRule="auto"/>
              <w:rPr>
                <w:b/>
                <w:vanish/>
              </w:rPr>
            </w:pPr>
          </w:p>
        </w:tc>
        <w:tc>
          <w:tcPr>
            <w:tcW w:w="1364" w:type="dxa"/>
          </w:tcPr>
          <w:p w14:paraId="18EF859E" w14:textId="77777777" w:rsidR="00A4199D" w:rsidRDefault="00A4199D">
            <w:pPr>
              <w:keepNext/>
              <w:widowControl w:val="0"/>
              <w:spacing w:after="0" w:line="240" w:lineRule="auto"/>
              <w:rPr>
                <w:b/>
                <w:vanish/>
              </w:rPr>
            </w:pPr>
          </w:p>
        </w:tc>
      </w:tr>
      <w:tr w:rsidR="00A4199D" w14:paraId="54E7DAB1" w14:textId="77777777">
        <w:trPr>
          <w:cantSplit/>
        </w:trPr>
        <w:tc>
          <w:tcPr>
            <w:tcW w:w="1393" w:type="dxa"/>
          </w:tcPr>
          <w:p w14:paraId="059485A2" w14:textId="77777777" w:rsidR="00A4199D" w:rsidRDefault="000B6150">
            <w:pPr>
              <w:spacing w:beforeAutospacing="1" w:afterAutospacing="1"/>
            </w:pPr>
            <w:r>
              <w:rPr>
                <w:color w:val="000000"/>
              </w:rPr>
              <w:t>Dollar Amount</w:t>
            </w:r>
          </w:p>
        </w:tc>
        <w:tc>
          <w:tcPr>
            <w:tcW w:w="1364" w:type="dxa"/>
            <w:vAlign w:val="bottom"/>
          </w:tcPr>
          <w:p w14:paraId="2DD741E3" w14:textId="77777777" w:rsidR="00A4199D" w:rsidRDefault="000B6150">
            <w:pPr>
              <w:spacing w:beforeAutospacing="1" w:afterAutospacing="1"/>
              <w:jc w:val="right"/>
            </w:pPr>
            <w:r>
              <w:rPr>
                <w:color w:val="000000"/>
              </w:rPr>
              <w:t>0</w:t>
            </w:r>
          </w:p>
        </w:tc>
        <w:tc>
          <w:tcPr>
            <w:tcW w:w="1364" w:type="dxa"/>
            <w:vAlign w:val="bottom"/>
          </w:tcPr>
          <w:p w14:paraId="3607777C" w14:textId="77777777" w:rsidR="00A4199D" w:rsidRDefault="000B6150">
            <w:pPr>
              <w:spacing w:beforeAutospacing="1" w:afterAutospacing="1"/>
              <w:jc w:val="right"/>
            </w:pPr>
            <w:r>
              <w:rPr>
                <w:color w:val="000000"/>
              </w:rPr>
              <w:t>0</w:t>
            </w:r>
          </w:p>
        </w:tc>
        <w:tc>
          <w:tcPr>
            <w:tcW w:w="1364" w:type="dxa"/>
            <w:vAlign w:val="bottom"/>
          </w:tcPr>
          <w:p w14:paraId="577F979A" w14:textId="77777777" w:rsidR="00A4199D" w:rsidRDefault="000B6150">
            <w:pPr>
              <w:spacing w:beforeAutospacing="1" w:afterAutospacing="1"/>
              <w:jc w:val="right"/>
            </w:pPr>
            <w:r>
              <w:rPr>
                <w:color w:val="000000"/>
              </w:rPr>
              <w:t>0</w:t>
            </w:r>
          </w:p>
        </w:tc>
      </w:tr>
      <w:tr w:rsidR="00A4199D" w14:paraId="487AE9BA" w14:textId="77777777">
        <w:trPr>
          <w:cantSplit/>
        </w:trPr>
        <w:tc>
          <w:tcPr>
            <w:tcW w:w="1393" w:type="dxa"/>
          </w:tcPr>
          <w:p w14:paraId="5DBD99C8" w14:textId="77777777" w:rsidR="00A4199D" w:rsidRDefault="000B6150">
            <w:pPr>
              <w:spacing w:beforeAutospacing="1" w:afterAutospacing="1"/>
            </w:pPr>
            <w:r>
              <w:rPr>
                <w:color w:val="000000"/>
              </w:rPr>
              <w:t>Number</w:t>
            </w:r>
          </w:p>
        </w:tc>
        <w:tc>
          <w:tcPr>
            <w:tcW w:w="1364" w:type="dxa"/>
            <w:vAlign w:val="bottom"/>
          </w:tcPr>
          <w:p w14:paraId="4DC1738F" w14:textId="77777777" w:rsidR="00A4199D" w:rsidRDefault="000B6150">
            <w:pPr>
              <w:spacing w:beforeAutospacing="1" w:afterAutospacing="1"/>
              <w:jc w:val="right"/>
            </w:pPr>
            <w:r>
              <w:rPr>
                <w:color w:val="000000"/>
              </w:rPr>
              <w:t>0</w:t>
            </w:r>
          </w:p>
        </w:tc>
        <w:tc>
          <w:tcPr>
            <w:tcW w:w="1364" w:type="dxa"/>
            <w:vAlign w:val="bottom"/>
          </w:tcPr>
          <w:p w14:paraId="117B0FFE" w14:textId="77777777" w:rsidR="00A4199D" w:rsidRDefault="000B6150">
            <w:pPr>
              <w:spacing w:beforeAutospacing="1" w:afterAutospacing="1"/>
              <w:jc w:val="right"/>
            </w:pPr>
            <w:r>
              <w:rPr>
                <w:color w:val="000000"/>
              </w:rPr>
              <w:t>0</w:t>
            </w:r>
          </w:p>
        </w:tc>
        <w:tc>
          <w:tcPr>
            <w:tcW w:w="1364" w:type="dxa"/>
            <w:vAlign w:val="bottom"/>
          </w:tcPr>
          <w:p w14:paraId="39212AFC" w14:textId="77777777" w:rsidR="00A4199D" w:rsidRDefault="000B6150">
            <w:pPr>
              <w:spacing w:beforeAutospacing="1" w:afterAutospacing="1"/>
              <w:jc w:val="right"/>
            </w:pPr>
            <w:r>
              <w:rPr>
                <w:color w:val="000000"/>
              </w:rPr>
              <w:t>0</w:t>
            </w:r>
          </w:p>
        </w:tc>
      </w:tr>
    </w:tbl>
    <w:p w14:paraId="2E6558CB" w14:textId="77777777" w:rsidR="00A4199D" w:rsidRDefault="00A4199D">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A4199D" w14:paraId="48D52C84" w14:textId="77777777">
        <w:trPr>
          <w:cantSplit/>
        </w:trPr>
        <w:tc>
          <w:tcPr>
            <w:tcW w:w="5485" w:type="dxa"/>
            <w:gridSpan w:val="4"/>
          </w:tcPr>
          <w:p w14:paraId="010C1D85" w14:textId="77777777" w:rsidR="00A4199D" w:rsidRDefault="000B6150">
            <w:pPr>
              <w:keepNext/>
              <w:widowControl w:val="0"/>
              <w:spacing w:after="0" w:line="240" w:lineRule="auto"/>
              <w:rPr>
                <w:b/>
              </w:rPr>
            </w:pPr>
            <w:r>
              <w:rPr>
                <w:b/>
              </w:rPr>
              <w:t>Sub-Contracts</w:t>
            </w:r>
          </w:p>
        </w:tc>
      </w:tr>
      <w:tr w:rsidR="00A4199D" w14:paraId="70E798CF" w14:textId="77777777">
        <w:trPr>
          <w:cantSplit/>
          <w:hidden/>
        </w:trPr>
        <w:tc>
          <w:tcPr>
            <w:tcW w:w="1393" w:type="dxa"/>
          </w:tcPr>
          <w:p w14:paraId="35199C72" w14:textId="77777777" w:rsidR="00A4199D" w:rsidRDefault="00A4199D">
            <w:pPr>
              <w:keepNext/>
              <w:widowControl w:val="0"/>
              <w:spacing w:after="0" w:line="240" w:lineRule="auto"/>
              <w:rPr>
                <w:b/>
                <w:vanish/>
              </w:rPr>
            </w:pPr>
          </w:p>
        </w:tc>
        <w:tc>
          <w:tcPr>
            <w:tcW w:w="1364" w:type="dxa"/>
          </w:tcPr>
          <w:p w14:paraId="32939436" w14:textId="77777777" w:rsidR="00A4199D" w:rsidRDefault="00A4199D">
            <w:pPr>
              <w:keepNext/>
              <w:widowControl w:val="0"/>
              <w:spacing w:after="0" w:line="240" w:lineRule="auto"/>
              <w:rPr>
                <w:b/>
                <w:vanish/>
              </w:rPr>
            </w:pPr>
          </w:p>
        </w:tc>
        <w:tc>
          <w:tcPr>
            <w:tcW w:w="1364" w:type="dxa"/>
          </w:tcPr>
          <w:p w14:paraId="62A9AA71" w14:textId="77777777" w:rsidR="00A4199D" w:rsidRDefault="00A4199D">
            <w:pPr>
              <w:keepNext/>
              <w:widowControl w:val="0"/>
              <w:spacing w:after="0" w:line="240" w:lineRule="auto"/>
              <w:rPr>
                <w:b/>
                <w:vanish/>
              </w:rPr>
            </w:pPr>
          </w:p>
        </w:tc>
        <w:tc>
          <w:tcPr>
            <w:tcW w:w="1364" w:type="dxa"/>
          </w:tcPr>
          <w:p w14:paraId="21FC8E30" w14:textId="77777777" w:rsidR="00A4199D" w:rsidRDefault="00A4199D">
            <w:pPr>
              <w:keepNext/>
              <w:widowControl w:val="0"/>
              <w:spacing w:after="0" w:line="240" w:lineRule="auto"/>
              <w:rPr>
                <w:b/>
                <w:vanish/>
              </w:rPr>
            </w:pPr>
          </w:p>
        </w:tc>
      </w:tr>
      <w:tr w:rsidR="00A4199D" w14:paraId="1FED9967" w14:textId="77777777">
        <w:trPr>
          <w:cantSplit/>
        </w:trPr>
        <w:tc>
          <w:tcPr>
            <w:tcW w:w="1393" w:type="dxa"/>
          </w:tcPr>
          <w:p w14:paraId="7FDE2113" w14:textId="77777777" w:rsidR="00A4199D" w:rsidRDefault="000B6150">
            <w:pPr>
              <w:spacing w:beforeAutospacing="1" w:afterAutospacing="1"/>
            </w:pPr>
            <w:r>
              <w:rPr>
                <w:color w:val="000000"/>
              </w:rPr>
              <w:t>Number</w:t>
            </w:r>
          </w:p>
        </w:tc>
        <w:tc>
          <w:tcPr>
            <w:tcW w:w="1364" w:type="dxa"/>
            <w:vAlign w:val="bottom"/>
          </w:tcPr>
          <w:p w14:paraId="07A7DB0E" w14:textId="77777777" w:rsidR="00A4199D" w:rsidRDefault="000B6150">
            <w:pPr>
              <w:spacing w:beforeAutospacing="1" w:afterAutospacing="1"/>
              <w:jc w:val="right"/>
            </w:pPr>
            <w:r>
              <w:rPr>
                <w:color w:val="000000"/>
              </w:rPr>
              <w:t>0</w:t>
            </w:r>
          </w:p>
        </w:tc>
        <w:tc>
          <w:tcPr>
            <w:tcW w:w="1364" w:type="dxa"/>
            <w:vAlign w:val="bottom"/>
          </w:tcPr>
          <w:p w14:paraId="4D8B5305" w14:textId="77777777" w:rsidR="00A4199D" w:rsidRDefault="000B6150">
            <w:pPr>
              <w:spacing w:beforeAutospacing="1" w:afterAutospacing="1"/>
              <w:jc w:val="right"/>
            </w:pPr>
            <w:r>
              <w:rPr>
                <w:color w:val="000000"/>
              </w:rPr>
              <w:t>0</w:t>
            </w:r>
          </w:p>
        </w:tc>
        <w:tc>
          <w:tcPr>
            <w:tcW w:w="1364" w:type="dxa"/>
            <w:vAlign w:val="bottom"/>
          </w:tcPr>
          <w:p w14:paraId="74FCC3B9" w14:textId="77777777" w:rsidR="00A4199D" w:rsidRDefault="000B6150">
            <w:pPr>
              <w:spacing w:beforeAutospacing="1" w:afterAutospacing="1"/>
              <w:jc w:val="right"/>
            </w:pPr>
            <w:r>
              <w:rPr>
                <w:color w:val="000000"/>
              </w:rPr>
              <w:t>0</w:t>
            </w:r>
          </w:p>
        </w:tc>
      </w:tr>
      <w:tr w:rsidR="00A4199D" w14:paraId="05D2CA4A" w14:textId="77777777">
        <w:trPr>
          <w:cantSplit/>
        </w:trPr>
        <w:tc>
          <w:tcPr>
            <w:tcW w:w="1393" w:type="dxa"/>
          </w:tcPr>
          <w:p w14:paraId="7922CE5E" w14:textId="77777777" w:rsidR="00A4199D" w:rsidRDefault="000B6150">
            <w:pPr>
              <w:spacing w:beforeAutospacing="1" w:afterAutospacing="1"/>
            </w:pPr>
            <w:r>
              <w:rPr>
                <w:color w:val="000000"/>
              </w:rPr>
              <w:t>Dollar Amount</w:t>
            </w:r>
          </w:p>
        </w:tc>
        <w:tc>
          <w:tcPr>
            <w:tcW w:w="1364" w:type="dxa"/>
            <w:vAlign w:val="bottom"/>
          </w:tcPr>
          <w:p w14:paraId="4753F711" w14:textId="77777777" w:rsidR="00A4199D" w:rsidRDefault="000B6150">
            <w:pPr>
              <w:spacing w:beforeAutospacing="1" w:afterAutospacing="1"/>
              <w:jc w:val="right"/>
            </w:pPr>
            <w:r>
              <w:rPr>
                <w:color w:val="000000"/>
              </w:rPr>
              <w:t>0</w:t>
            </w:r>
          </w:p>
        </w:tc>
        <w:tc>
          <w:tcPr>
            <w:tcW w:w="1364" w:type="dxa"/>
            <w:vAlign w:val="bottom"/>
          </w:tcPr>
          <w:p w14:paraId="7B3A1805" w14:textId="77777777" w:rsidR="00A4199D" w:rsidRDefault="000B6150">
            <w:pPr>
              <w:spacing w:beforeAutospacing="1" w:afterAutospacing="1"/>
              <w:jc w:val="right"/>
            </w:pPr>
            <w:r>
              <w:rPr>
                <w:color w:val="000000"/>
              </w:rPr>
              <w:t>0</w:t>
            </w:r>
          </w:p>
        </w:tc>
        <w:tc>
          <w:tcPr>
            <w:tcW w:w="1364" w:type="dxa"/>
            <w:vAlign w:val="bottom"/>
          </w:tcPr>
          <w:p w14:paraId="7EB877A4" w14:textId="77777777" w:rsidR="00A4199D" w:rsidRDefault="000B6150">
            <w:pPr>
              <w:spacing w:beforeAutospacing="1" w:afterAutospacing="1"/>
              <w:jc w:val="right"/>
            </w:pPr>
            <w:r>
              <w:rPr>
                <w:color w:val="000000"/>
              </w:rPr>
              <w:t>0</w:t>
            </w:r>
          </w:p>
        </w:tc>
      </w:tr>
    </w:tbl>
    <w:p w14:paraId="02A7282B" w14:textId="77777777" w:rsidR="00A4199D" w:rsidRDefault="000B615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Minority Business and Women Business Enterprises</w:t>
      </w:r>
    </w:p>
    <w:p w14:paraId="61BC9E56" w14:textId="77777777" w:rsidR="00A4199D" w:rsidRDefault="00A4199D">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4199D" w14:paraId="253B850C" w14:textId="77777777">
        <w:tc>
          <w:tcPr>
            <w:tcW w:w="9576" w:type="dxa"/>
          </w:tcPr>
          <w:p w14:paraId="1C13233C" w14:textId="77777777" w:rsidR="00A4199D" w:rsidRDefault="000B6150">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14:paraId="776BE570" w14:textId="77777777" w:rsidR="00A4199D" w:rsidRDefault="00A4199D">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A4199D" w14:paraId="2BDCDEBF" w14:textId="77777777">
        <w:tc>
          <w:tcPr>
            <w:tcW w:w="1408" w:type="dxa"/>
            <w:vMerge w:val="restart"/>
          </w:tcPr>
          <w:p w14:paraId="014DEFDB" w14:textId="77777777" w:rsidR="00A4199D" w:rsidRDefault="00A4199D">
            <w:pPr>
              <w:keepNext/>
              <w:widowControl w:val="0"/>
              <w:spacing w:after="0" w:line="240" w:lineRule="auto"/>
              <w:jc w:val="center"/>
              <w:rPr>
                <w:b/>
              </w:rPr>
            </w:pPr>
          </w:p>
        </w:tc>
        <w:tc>
          <w:tcPr>
            <w:tcW w:w="809" w:type="dxa"/>
            <w:vMerge w:val="restart"/>
          </w:tcPr>
          <w:p w14:paraId="25F742E8" w14:textId="77777777" w:rsidR="00A4199D" w:rsidRDefault="000B6150">
            <w:pPr>
              <w:keepNext/>
              <w:widowControl w:val="0"/>
              <w:spacing w:after="0" w:line="240" w:lineRule="auto"/>
              <w:jc w:val="center"/>
              <w:rPr>
                <w:b/>
              </w:rPr>
            </w:pPr>
            <w:r>
              <w:rPr>
                <w:b/>
              </w:rPr>
              <w:t>Total</w:t>
            </w:r>
          </w:p>
        </w:tc>
        <w:tc>
          <w:tcPr>
            <w:tcW w:w="5891" w:type="dxa"/>
            <w:gridSpan w:val="4"/>
          </w:tcPr>
          <w:p w14:paraId="19CE876A" w14:textId="77777777" w:rsidR="00A4199D" w:rsidRDefault="000B6150">
            <w:pPr>
              <w:keepNext/>
              <w:widowControl w:val="0"/>
              <w:spacing w:after="0" w:line="240" w:lineRule="auto"/>
              <w:jc w:val="center"/>
              <w:rPr>
                <w:b/>
              </w:rPr>
            </w:pPr>
            <w:r>
              <w:rPr>
                <w:b/>
              </w:rPr>
              <w:t xml:space="preserve">Minority Property </w:t>
            </w:r>
            <w:r>
              <w:rPr>
                <w:b/>
              </w:rPr>
              <w:t>Owners</w:t>
            </w:r>
          </w:p>
        </w:tc>
        <w:tc>
          <w:tcPr>
            <w:tcW w:w="1468" w:type="dxa"/>
            <w:vMerge w:val="restart"/>
          </w:tcPr>
          <w:p w14:paraId="232DB747" w14:textId="77777777" w:rsidR="00A4199D" w:rsidRDefault="000B6150">
            <w:pPr>
              <w:keepNext/>
              <w:widowControl w:val="0"/>
              <w:spacing w:after="0" w:line="240" w:lineRule="auto"/>
              <w:jc w:val="center"/>
              <w:rPr>
                <w:b/>
              </w:rPr>
            </w:pPr>
            <w:r>
              <w:rPr>
                <w:b/>
              </w:rPr>
              <w:t xml:space="preserve">White </w:t>
            </w:r>
            <w:proofErr w:type="gramStart"/>
            <w:r>
              <w:rPr>
                <w:b/>
              </w:rPr>
              <w:t>Non-Hispanic</w:t>
            </w:r>
            <w:proofErr w:type="gramEnd"/>
          </w:p>
        </w:tc>
      </w:tr>
      <w:tr w:rsidR="00A4199D" w14:paraId="5B1A415B" w14:textId="77777777">
        <w:tc>
          <w:tcPr>
            <w:tcW w:w="1408" w:type="dxa"/>
            <w:vMerge/>
          </w:tcPr>
          <w:p w14:paraId="535A0D34" w14:textId="77777777" w:rsidR="00A4199D" w:rsidRDefault="00A4199D">
            <w:pPr>
              <w:keepNext/>
              <w:widowControl w:val="0"/>
              <w:spacing w:after="0" w:line="240" w:lineRule="auto"/>
              <w:jc w:val="center"/>
              <w:rPr>
                <w:b/>
              </w:rPr>
            </w:pPr>
          </w:p>
        </w:tc>
        <w:tc>
          <w:tcPr>
            <w:tcW w:w="809" w:type="dxa"/>
            <w:vMerge/>
          </w:tcPr>
          <w:p w14:paraId="40B974D8" w14:textId="77777777" w:rsidR="00A4199D" w:rsidRDefault="00A4199D">
            <w:pPr>
              <w:keepNext/>
              <w:widowControl w:val="0"/>
              <w:spacing w:after="0" w:line="240" w:lineRule="auto"/>
              <w:jc w:val="center"/>
              <w:rPr>
                <w:b/>
              </w:rPr>
            </w:pPr>
          </w:p>
        </w:tc>
        <w:tc>
          <w:tcPr>
            <w:tcW w:w="1523" w:type="dxa"/>
          </w:tcPr>
          <w:p w14:paraId="25C468AC" w14:textId="77777777" w:rsidR="00A4199D" w:rsidRDefault="000B6150">
            <w:pPr>
              <w:keepNext/>
              <w:widowControl w:val="0"/>
              <w:jc w:val="center"/>
              <w:rPr>
                <w:b/>
              </w:rPr>
            </w:pPr>
            <w:r>
              <w:rPr>
                <w:b/>
              </w:rPr>
              <w:t>Alaskan Native or American Indian</w:t>
            </w:r>
          </w:p>
        </w:tc>
        <w:tc>
          <w:tcPr>
            <w:tcW w:w="1432" w:type="dxa"/>
          </w:tcPr>
          <w:p w14:paraId="7AF05F07" w14:textId="77777777" w:rsidR="00A4199D" w:rsidRDefault="000B6150">
            <w:pPr>
              <w:keepNext/>
              <w:widowControl w:val="0"/>
              <w:ind w:right="-28"/>
              <w:jc w:val="center"/>
              <w:rPr>
                <w:b/>
              </w:rPr>
            </w:pPr>
            <w:r>
              <w:rPr>
                <w:b/>
              </w:rPr>
              <w:t>Asian or Pacific Islander</w:t>
            </w:r>
          </w:p>
        </w:tc>
        <w:tc>
          <w:tcPr>
            <w:tcW w:w="1468" w:type="dxa"/>
          </w:tcPr>
          <w:p w14:paraId="727A99DC" w14:textId="77777777" w:rsidR="00A4199D" w:rsidRDefault="000B6150">
            <w:pPr>
              <w:keepNext/>
              <w:widowControl w:val="0"/>
              <w:jc w:val="center"/>
              <w:rPr>
                <w:b/>
              </w:rPr>
            </w:pPr>
            <w:r>
              <w:rPr>
                <w:b/>
              </w:rPr>
              <w:t xml:space="preserve">Black </w:t>
            </w:r>
            <w:proofErr w:type="gramStart"/>
            <w:r>
              <w:rPr>
                <w:b/>
              </w:rPr>
              <w:t>Non-Hispanic</w:t>
            </w:r>
            <w:proofErr w:type="gramEnd"/>
          </w:p>
        </w:tc>
        <w:tc>
          <w:tcPr>
            <w:tcW w:w="1468" w:type="dxa"/>
          </w:tcPr>
          <w:p w14:paraId="646D72BF" w14:textId="77777777" w:rsidR="00A4199D" w:rsidRDefault="000B6150">
            <w:pPr>
              <w:keepNext/>
              <w:widowControl w:val="0"/>
              <w:jc w:val="center"/>
              <w:rPr>
                <w:b/>
              </w:rPr>
            </w:pPr>
            <w:r>
              <w:rPr>
                <w:b/>
              </w:rPr>
              <w:t>Hispanic</w:t>
            </w:r>
          </w:p>
        </w:tc>
        <w:tc>
          <w:tcPr>
            <w:tcW w:w="1468" w:type="dxa"/>
            <w:vMerge/>
          </w:tcPr>
          <w:p w14:paraId="55D803E5" w14:textId="77777777" w:rsidR="00A4199D" w:rsidRDefault="00A4199D">
            <w:pPr>
              <w:keepNext/>
              <w:widowControl w:val="0"/>
              <w:spacing w:after="0" w:line="240" w:lineRule="auto"/>
              <w:jc w:val="center"/>
              <w:rPr>
                <w:b/>
              </w:rPr>
            </w:pPr>
          </w:p>
        </w:tc>
      </w:tr>
      <w:tr w:rsidR="00A4199D" w14:paraId="72C8F746" w14:textId="77777777">
        <w:trPr>
          <w:cantSplit/>
        </w:trPr>
        <w:tc>
          <w:tcPr>
            <w:tcW w:w="1411" w:type="dxa"/>
          </w:tcPr>
          <w:p w14:paraId="194A1FBF" w14:textId="77777777" w:rsidR="00A4199D" w:rsidRDefault="000B6150">
            <w:pPr>
              <w:spacing w:beforeAutospacing="1" w:afterAutospacing="1"/>
            </w:pPr>
            <w:r>
              <w:rPr>
                <w:color w:val="000000"/>
              </w:rPr>
              <w:t>Number</w:t>
            </w:r>
          </w:p>
        </w:tc>
        <w:tc>
          <w:tcPr>
            <w:tcW w:w="810" w:type="dxa"/>
            <w:vAlign w:val="bottom"/>
          </w:tcPr>
          <w:p w14:paraId="4BB09424" w14:textId="77777777" w:rsidR="00A4199D" w:rsidRDefault="000B6150">
            <w:pPr>
              <w:spacing w:beforeAutospacing="1" w:afterAutospacing="1"/>
              <w:jc w:val="right"/>
            </w:pPr>
            <w:r>
              <w:rPr>
                <w:color w:val="000000"/>
              </w:rPr>
              <w:t>0</w:t>
            </w:r>
          </w:p>
        </w:tc>
        <w:tc>
          <w:tcPr>
            <w:tcW w:w="1525" w:type="dxa"/>
            <w:vAlign w:val="bottom"/>
          </w:tcPr>
          <w:p w14:paraId="502FF3EE" w14:textId="77777777" w:rsidR="00A4199D" w:rsidRDefault="000B6150">
            <w:pPr>
              <w:spacing w:beforeAutospacing="1" w:afterAutospacing="1"/>
              <w:jc w:val="right"/>
            </w:pPr>
            <w:r>
              <w:rPr>
                <w:color w:val="000000"/>
              </w:rPr>
              <w:t>0</w:t>
            </w:r>
          </w:p>
        </w:tc>
        <w:tc>
          <w:tcPr>
            <w:tcW w:w="1434" w:type="dxa"/>
            <w:vAlign w:val="bottom"/>
          </w:tcPr>
          <w:p w14:paraId="5AADDCE8" w14:textId="77777777" w:rsidR="00A4199D" w:rsidRDefault="000B6150">
            <w:pPr>
              <w:spacing w:beforeAutospacing="1" w:afterAutospacing="1"/>
              <w:jc w:val="right"/>
            </w:pPr>
            <w:r>
              <w:rPr>
                <w:color w:val="000000"/>
              </w:rPr>
              <w:t>0</w:t>
            </w:r>
          </w:p>
        </w:tc>
        <w:tc>
          <w:tcPr>
            <w:tcW w:w="1470" w:type="dxa"/>
            <w:vAlign w:val="bottom"/>
          </w:tcPr>
          <w:p w14:paraId="5B009C40" w14:textId="77777777" w:rsidR="00A4199D" w:rsidRDefault="000B6150">
            <w:pPr>
              <w:spacing w:beforeAutospacing="1" w:afterAutospacing="1"/>
              <w:jc w:val="right"/>
            </w:pPr>
            <w:r>
              <w:rPr>
                <w:color w:val="000000"/>
              </w:rPr>
              <w:t>0</w:t>
            </w:r>
          </w:p>
        </w:tc>
        <w:tc>
          <w:tcPr>
            <w:tcW w:w="1470" w:type="dxa"/>
            <w:vAlign w:val="bottom"/>
          </w:tcPr>
          <w:p w14:paraId="417739A3" w14:textId="77777777" w:rsidR="00A4199D" w:rsidRDefault="000B6150">
            <w:pPr>
              <w:spacing w:beforeAutospacing="1" w:afterAutospacing="1"/>
              <w:jc w:val="right"/>
            </w:pPr>
            <w:r>
              <w:rPr>
                <w:color w:val="000000"/>
              </w:rPr>
              <w:t>0</w:t>
            </w:r>
          </w:p>
        </w:tc>
        <w:tc>
          <w:tcPr>
            <w:tcW w:w="1470" w:type="dxa"/>
            <w:vAlign w:val="bottom"/>
          </w:tcPr>
          <w:p w14:paraId="15EAFBC2" w14:textId="77777777" w:rsidR="00A4199D" w:rsidRDefault="000B6150">
            <w:pPr>
              <w:spacing w:beforeAutospacing="1" w:afterAutospacing="1"/>
              <w:jc w:val="right"/>
            </w:pPr>
            <w:r>
              <w:rPr>
                <w:color w:val="000000"/>
              </w:rPr>
              <w:t>0</w:t>
            </w:r>
          </w:p>
        </w:tc>
      </w:tr>
      <w:tr w:rsidR="00A4199D" w14:paraId="504625A2" w14:textId="77777777">
        <w:trPr>
          <w:cantSplit/>
        </w:trPr>
        <w:tc>
          <w:tcPr>
            <w:tcW w:w="1411" w:type="dxa"/>
          </w:tcPr>
          <w:p w14:paraId="22C3224E" w14:textId="77777777" w:rsidR="00A4199D" w:rsidRDefault="000B6150">
            <w:pPr>
              <w:spacing w:beforeAutospacing="1" w:afterAutospacing="1"/>
            </w:pPr>
            <w:r>
              <w:rPr>
                <w:color w:val="000000"/>
              </w:rPr>
              <w:t>Dollar Amount</w:t>
            </w:r>
          </w:p>
        </w:tc>
        <w:tc>
          <w:tcPr>
            <w:tcW w:w="810" w:type="dxa"/>
            <w:vAlign w:val="bottom"/>
          </w:tcPr>
          <w:p w14:paraId="3307D723" w14:textId="77777777" w:rsidR="00A4199D" w:rsidRDefault="000B6150">
            <w:pPr>
              <w:spacing w:beforeAutospacing="1" w:afterAutospacing="1"/>
              <w:jc w:val="right"/>
            </w:pPr>
            <w:r>
              <w:rPr>
                <w:color w:val="000000"/>
              </w:rPr>
              <w:t>0</w:t>
            </w:r>
          </w:p>
        </w:tc>
        <w:tc>
          <w:tcPr>
            <w:tcW w:w="1525" w:type="dxa"/>
            <w:vAlign w:val="bottom"/>
          </w:tcPr>
          <w:p w14:paraId="4ED53A86" w14:textId="77777777" w:rsidR="00A4199D" w:rsidRDefault="000B6150">
            <w:pPr>
              <w:spacing w:beforeAutospacing="1" w:afterAutospacing="1"/>
              <w:jc w:val="right"/>
            </w:pPr>
            <w:r>
              <w:rPr>
                <w:color w:val="000000"/>
              </w:rPr>
              <w:t>0</w:t>
            </w:r>
          </w:p>
        </w:tc>
        <w:tc>
          <w:tcPr>
            <w:tcW w:w="1434" w:type="dxa"/>
            <w:vAlign w:val="bottom"/>
          </w:tcPr>
          <w:p w14:paraId="6532F43B" w14:textId="77777777" w:rsidR="00A4199D" w:rsidRDefault="000B6150">
            <w:pPr>
              <w:spacing w:beforeAutospacing="1" w:afterAutospacing="1"/>
              <w:jc w:val="right"/>
            </w:pPr>
            <w:r>
              <w:rPr>
                <w:color w:val="000000"/>
              </w:rPr>
              <w:t>0</w:t>
            </w:r>
          </w:p>
        </w:tc>
        <w:tc>
          <w:tcPr>
            <w:tcW w:w="1470" w:type="dxa"/>
            <w:vAlign w:val="bottom"/>
          </w:tcPr>
          <w:p w14:paraId="6ED05532" w14:textId="77777777" w:rsidR="00A4199D" w:rsidRDefault="000B6150">
            <w:pPr>
              <w:spacing w:beforeAutospacing="1" w:afterAutospacing="1"/>
              <w:jc w:val="right"/>
            </w:pPr>
            <w:r>
              <w:rPr>
                <w:color w:val="000000"/>
              </w:rPr>
              <w:t>0</w:t>
            </w:r>
          </w:p>
        </w:tc>
        <w:tc>
          <w:tcPr>
            <w:tcW w:w="1470" w:type="dxa"/>
            <w:vAlign w:val="bottom"/>
          </w:tcPr>
          <w:p w14:paraId="4961503B" w14:textId="77777777" w:rsidR="00A4199D" w:rsidRDefault="000B6150">
            <w:pPr>
              <w:spacing w:beforeAutospacing="1" w:afterAutospacing="1"/>
              <w:jc w:val="right"/>
            </w:pPr>
            <w:r>
              <w:rPr>
                <w:color w:val="000000"/>
              </w:rPr>
              <w:t>0</w:t>
            </w:r>
          </w:p>
        </w:tc>
        <w:tc>
          <w:tcPr>
            <w:tcW w:w="1470" w:type="dxa"/>
            <w:vAlign w:val="bottom"/>
          </w:tcPr>
          <w:p w14:paraId="354FC505" w14:textId="77777777" w:rsidR="00A4199D" w:rsidRDefault="000B6150">
            <w:pPr>
              <w:spacing w:beforeAutospacing="1" w:afterAutospacing="1"/>
              <w:jc w:val="right"/>
            </w:pPr>
            <w:r>
              <w:rPr>
                <w:color w:val="000000"/>
              </w:rPr>
              <w:t>0</w:t>
            </w:r>
          </w:p>
        </w:tc>
      </w:tr>
    </w:tbl>
    <w:p w14:paraId="2E1EA95F"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Minority Owners of Rental Property</w:t>
      </w:r>
    </w:p>
    <w:p w14:paraId="69545C1A" w14:textId="77777777" w:rsidR="00A4199D" w:rsidRDefault="00A4199D">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4199D" w14:paraId="11AE5C22" w14:textId="77777777">
        <w:tc>
          <w:tcPr>
            <w:tcW w:w="13176" w:type="dxa"/>
          </w:tcPr>
          <w:p w14:paraId="645E534B" w14:textId="77777777" w:rsidR="00A4199D" w:rsidRDefault="000B6150">
            <w:pPr>
              <w:keepNext/>
              <w:widowControl w:val="0"/>
              <w:spacing w:after="0" w:line="240" w:lineRule="auto"/>
              <w:rPr>
                <w:b/>
              </w:rPr>
            </w:pPr>
            <w:r>
              <w:rPr>
                <w:b/>
              </w:rPr>
              <w:lastRenderedPageBreak/>
              <w:t xml:space="preserve">Relocation and Real Property Acquisition – </w:t>
            </w:r>
            <w:r>
              <w:t>Indicate the number of persons displaced, the cost of relocation payments, the number of parcels acquired, and the cost of acquisition</w:t>
            </w:r>
          </w:p>
        </w:tc>
      </w:tr>
    </w:tbl>
    <w:p w14:paraId="69114FCD" w14:textId="77777777" w:rsidR="00A4199D" w:rsidRDefault="00A4199D">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A4199D" w14:paraId="626664DA" w14:textId="77777777">
        <w:trPr>
          <w:cantSplit/>
          <w:hidden/>
        </w:trPr>
        <w:tc>
          <w:tcPr>
            <w:tcW w:w="4392" w:type="dxa"/>
          </w:tcPr>
          <w:p w14:paraId="582F684D" w14:textId="77777777" w:rsidR="00A4199D" w:rsidRDefault="00A4199D">
            <w:pPr>
              <w:keepNext/>
              <w:widowControl w:val="0"/>
              <w:spacing w:after="0" w:line="240" w:lineRule="auto"/>
              <w:rPr>
                <w:b/>
                <w:vanish/>
              </w:rPr>
            </w:pPr>
          </w:p>
        </w:tc>
        <w:tc>
          <w:tcPr>
            <w:tcW w:w="2314" w:type="dxa"/>
          </w:tcPr>
          <w:p w14:paraId="2DC14357" w14:textId="77777777" w:rsidR="00A4199D" w:rsidRDefault="000B6150">
            <w:pPr>
              <w:keepNext/>
              <w:widowControl w:val="0"/>
              <w:spacing w:after="0" w:line="240" w:lineRule="auto"/>
              <w:jc w:val="center"/>
              <w:rPr>
                <w:b/>
                <w:vanish/>
              </w:rPr>
            </w:pPr>
            <w:r>
              <w:rPr>
                <w:b/>
                <w:vanish/>
              </w:rPr>
              <w:t>Number</w:t>
            </w:r>
          </w:p>
        </w:tc>
        <w:tc>
          <w:tcPr>
            <w:tcW w:w="2314" w:type="dxa"/>
          </w:tcPr>
          <w:p w14:paraId="6A4133A0" w14:textId="77777777" w:rsidR="00A4199D" w:rsidRDefault="000B6150">
            <w:pPr>
              <w:keepNext/>
              <w:widowControl w:val="0"/>
              <w:spacing w:after="0" w:line="240" w:lineRule="auto"/>
              <w:jc w:val="center"/>
              <w:rPr>
                <w:b/>
                <w:vanish/>
              </w:rPr>
            </w:pPr>
            <w:r>
              <w:rPr>
                <w:b/>
                <w:vanish/>
              </w:rPr>
              <w:t>Cost</w:t>
            </w:r>
          </w:p>
        </w:tc>
      </w:tr>
      <w:tr w:rsidR="00A4199D" w14:paraId="11CD0010" w14:textId="77777777">
        <w:trPr>
          <w:cantSplit/>
        </w:trPr>
        <w:tc>
          <w:tcPr>
            <w:tcW w:w="3163" w:type="dxa"/>
          </w:tcPr>
          <w:p w14:paraId="0D37F656" w14:textId="77777777" w:rsidR="00A4199D" w:rsidRDefault="000B6150">
            <w:pPr>
              <w:spacing w:beforeAutospacing="1" w:afterAutospacing="1"/>
            </w:pPr>
            <w:r>
              <w:rPr>
                <w:color w:val="000000"/>
              </w:rPr>
              <w:t>Parcels Acquired</w:t>
            </w:r>
          </w:p>
        </w:tc>
        <w:tc>
          <w:tcPr>
            <w:tcW w:w="1701" w:type="dxa"/>
            <w:vAlign w:val="bottom"/>
          </w:tcPr>
          <w:p w14:paraId="36F1ED60" w14:textId="77777777" w:rsidR="00A4199D" w:rsidRDefault="000B6150">
            <w:pPr>
              <w:spacing w:beforeAutospacing="1" w:afterAutospacing="1"/>
              <w:jc w:val="right"/>
            </w:pPr>
            <w:r>
              <w:rPr>
                <w:color w:val="000000"/>
              </w:rPr>
              <w:t>0</w:t>
            </w:r>
          </w:p>
        </w:tc>
        <w:tc>
          <w:tcPr>
            <w:tcW w:w="1701" w:type="dxa"/>
            <w:vAlign w:val="bottom"/>
          </w:tcPr>
          <w:p w14:paraId="7A2C5530" w14:textId="77777777" w:rsidR="00A4199D" w:rsidRDefault="000B6150">
            <w:pPr>
              <w:spacing w:beforeAutospacing="1" w:afterAutospacing="1"/>
              <w:jc w:val="right"/>
            </w:pPr>
            <w:r>
              <w:rPr>
                <w:color w:val="000000"/>
              </w:rPr>
              <w:t>0</w:t>
            </w:r>
          </w:p>
        </w:tc>
      </w:tr>
      <w:tr w:rsidR="00A4199D" w14:paraId="493C3AE5" w14:textId="77777777">
        <w:trPr>
          <w:cantSplit/>
        </w:trPr>
        <w:tc>
          <w:tcPr>
            <w:tcW w:w="3163" w:type="dxa"/>
          </w:tcPr>
          <w:p w14:paraId="00880F67" w14:textId="77777777" w:rsidR="00A4199D" w:rsidRDefault="000B6150">
            <w:pPr>
              <w:spacing w:beforeAutospacing="1" w:afterAutospacing="1"/>
            </w:pPr>
            <w:r>
              <w:rPr>
                <w:color w:val="000000"/>
              </w:rPr>
              <w:t>Businesses Displaced</w:t>
            </w:r>
          </w:p>
        </w:tc>
        <w:tc>
          <w:tcPr>
            <w:tcW w:w="1701" w:type="dxa"/>
            <w:vAlign w:val="bottom"/>
          </w:tcPr>
          <w:p w14:paraId="7EC38E9F" w14:textId="77777777" w:rsidR="00A4199D" w:rsidRDefault="000B6150">
            <w:pPr>
              <w:spacing w:beforeAutospacing="1" w:afterAutospacing="1"/>
              <w:jc w:val="right"/>
            </w:pPr>
            <w:r>
              <w:rPr>
                <w:color w:val="000000"/>
              </w:rPr>
              <w:t>0</w:t>
            </w:r>
          </w:p>
        </w:tc>
        <w:tc>
          <w:tcPr>
            <w:tcW w:w="1701" w:type="dxa"/>
            <w:vAlign w:val="bottom"/>
          </w:tcPr>
          <w:p w14:paraId="2F437069" w14:textId="77777777" w:rsidR="00A4199D" w:rsidRDefault="000B6150">
            <w:pPr>
              <w:spacing w:beforeAutospacing="1" w:afterAutospacing="1"/>
              <w:jc w:val="right"/>
            </w:pPr>
            <w:r>
              <w:rPr>
                <w:color w:val="000000"/>
              </w:rPr>
              <w:t>0</w:t>
            </w:r>
          </w:p>
        </w:tc>
      </w:tr>
      <w:tr w:rsidR="00A4199D" w14:paraId="333552D2" w14:textId="77777777">
        <w:trPr>
          <w:cantSplit/>
        </w:trPr>
        <w:tc>
          <w:tcPr>
            <w:tcW w:w="3163" w:type="dxa"/>
          </w:tcPr>
          <w:p w14:paraId="26AC395C" w14:textId="77777777" w:rsidR="00A4199D" w:rsidRDefault="000B6150">
            <w:pPr>
              <w:spacing w:beforeAutospacing="1" w:afterAutospacing="1"/>
            </w:pPr>
            <w:r>
              <w:rPr>
                <w:color w:val="000000"/>
              </w:rPr>
              <w:t>Nonprofit Organizations Displaced</w:t>
            </w:r>
          </w:p>
        </w:tc>
        <w:tc>
          <w:tcPr>
            <w:tcW w:w="1701" w:type="dxa"/>
            <w:vAlign w:val="bottom"/>
          </w:tcPr>
          <w:p w14:paraId="382153EA" w14:textId="77777777" w:rsidR="00A4199D" w:rsidRDefault="000B6150">
            <w:pPr>
              <w:spacing w:beforeAutospacing="1" w:afterAutospacing="1"/>
              <w:jc w:val="right"/>
            </w:pPr>
            <w:r>
              <w:rPr>
                <w:color w:val="000000"/>
              </w:rPr>
              <w:t>0</w:t>
            </w:r>
          </w:p>
        </w:tc>
        <w:tc>
          <w:tcPr>
            <w:tcW w:w="1701" w:type="dxa"/>
            <w:vAlign w:val="bottom"/>
          </w:tcPr>
          <w:p w14:paraId="719D1B83" w14:textId="77777777" w:rsidR="00A4199D" w:rsidRDefault="000B6150">
            <w:pPr>
              <w:spacing w:beforeAutospacing="1" w:afterAutospacing="1"/>
              <w:jc w:val="right"/>
            </w:pPr>
            <w:r>
              <w:rPr>
                <w:color w:val="000000"/>
              </w:rPr>
              <w:t>0</w:t>
            </w:r>
          </w:p>
        </w:tc>
      </w:tr>
      <w:tr w:rsidR="00A4199D" w14:paraId="1E32DE09" w14:textId="77777777">
        <w:trPr>
          <w:cantSplit/>
        </w:trPr>
        <w:tc>
          <w:tcPr>
            <w:tcW w:w="3163" w:type="dxa"/>
          </w:tcPr>
          <w:p w14:paraId="1FB7213A" w14:textId="77777777" w:rsidR="00A4199D" w:rsidRDefault="000B6150">
            <w:pPr>
              <w:spacing w:beforeAutospacing="1" w:afterAutospacing="1"/>
            </w:pPr>
            <w:r>
              <w:rPr>
                <w:color w:val="000000"/>
              </w:rPr>
              <w:t xml:space="preserve">Households Temporarily Relocated, </w:t>
            </w:r>
            <w:proofErr w:type="gramStart"/>
            <w:r>
              <w:rPr>
                <w:color w:val="000000"/>
              </w:rPr>
              <w:t>not</w:t>
            </w:r>
            <w:proofErr w:type="gramEnd"/>
            <w:r>
              <w:rPr>
                <w:color w:val="000000"/>
              </w:rPr>
              <w:t xml:space="preserve"> Displaced</w:t>
            </w:r>
          </w:p>
        </w:tc>
        <w:tc>
          <w:tcPr>
            <w:tcW w:w="1701" w:type="dxa"/>
            <w:vAlign w:val="bottom"/>
          </w:tcPr>
          <w:p w14:paraId="4F8266DE" w14:textId="77777777" w:rsidR="00A4199D" w:rsidRDefault="000B6150">
            <w:pPr>
              <w:spacing w:beforeAutospacing="1" w:afterAutospacing="1"/>
              <w:jc w:val="right"/>
            </w:pPr>
            <w:r>
              <w:rPr>
                <w:color w:val="000000"/>
              </w:rPr>
              <w:t>0</w:t>
            </w:r>
          </w:p>
        </w:tc>
        <w:tc>
          <w:tcPr>
            <w:tcW w:w="1701" w:type="dxa"/>
            <w:vAlign w:val="bottom"/>
          </w:tcPr>
          <w:p w14:paraId="58B12059" w14:textId="77777777" w:rsidR="00A4199D" w:rsidRDefault="000B6150">
            <w:pPr>
              <w:spacing w:beforeAutospacing="1" w:afterAutospacing="1"/>
              <w:jc w:val="right"/>
            </w:pPr>
            <w:r>
              <w:rPr>
                <w:color w:val="000000"/>
              </w:rPr>
              <w:t>0</w:t>
            </w:r>
          </w:p>
        </w:tc>
      </w:tr>
    </w:tbl>
    <w:p w14:paraId="207CC1BC" w14:textId="77777777" w:rsidR="00A4199D" w:rsidRDefault="00A4199D">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A4199D" w14:paraId="7F0E6301" w14:textId="77777777">
        <w:trPr>
          <w:cantSplit/>
        </w:trPr>
        <w:tc>
          <w:tcPr>
            <w:tcW w:w="1572" w:type="dxa"/>
            <w:vMerge w:val="restart"/>
          </w:tcPr>
          <w:p w14:paraId="6D210131" w14:textId="77777777" w:rsidR="00A4199D" w:rsidRDefault="000B6150">
            <w:pPr>
              <w:keepNext/>
              <w:widowControl w:val="0"/>
              <w:spacing w:after="0" w:line="240" w:lineRule="auto"/>
              <w:jc w:val="center"/>
              <w:rPr>
                <w:b/>
              </w:rPr>
            </w:pPr>
            <w:r>
              <w:rPr>
                <w:b/>
              </w:rPr>
              <w:t>Households Displaced</w:t>
            </w:r>
          </w:p>
        </w:tc>
        <w:tc>
          <w:tcPr>
            <w:tcW w:w="800" w:type="dxa"/>
            <w:vMerge w:val="restart"/>
          </w:tcPr>
          <w:p w14:paraId="2637A1F9" w14:textId="77777777" w:rsidR="00A4199D" w:rsidRDefault="000B6150">
            <w:pPr>
              <w:keepNext/>
              <w:widowControl w:val="0"/>
              <w:spacing w:after="0" w:line="240" w:lineRule="auto"/>
              <w:jc w:val="center"/>
              <w:rPr>
                <w:b/>
              </w:rPr>
            </w:pPr>
            <w:r>
              <w:rPr>
                <w:b/>
              </w:rPr>
              <w:t>Total</w:t>
            </w:r>
          </w:p>
        </w:tc>
        <w:tc>
          <w:tcPr>
            <w:tcW w:w="5767" w:type="dxa"/>
            <w:gridSpan w:val="4"/>
          </w:tcPr>
          <w:p w14:paraId="3F4D99F6" w14:textId="77777777" w:rsidR="00A4199D" w:rsidRDefault="000B6150">
            <w:pPr>
              <w:keepNext/>
              <w:widowControl w:val="0"/>
              <w:spacing w:after="0" w:line="240" w:lineRule="auto"/>
              <w:jc w:val="center"/>
              <w:rPr>
                <w:b/>
              </w:rPr>
            </w:pPr>
            <w:r>
              <w:rPr>
                <w:b/>
              </w:rPr>
              <w:t>Minority Property Enterprises</w:t>
            </w:r>
          </w:p>
        </w:tc>
        <w:tc>
          <w:tcPr>
            <w:tcW w:w="1437" w:type="dxa"/>
            <w:vMerge w:val="restart"/>
          </w:tcPr>
          <w:p w14:paraId="1F18374E" w14:textId="77777777" w:rsidR="00A4199D" w:rsidRDefault="000B6150">
            <w:pPr>
              <w:keepNext/>
              <w:widowControl w:val="0"/>
              <w:spacing w:after="0" w:line="240" w:lineRule="auto"/>
              <w:jc w:val="center"/>
              <w:rPr>
                <w:b/>
              </w:rPr>
            </w:pPr>
            <w:r>
              <w:rPr>
                <w:b/>
              </w:rPr>
              <w:t xml:space="preserve">White </w:t>
            </w:r>
            <w:proofErr w:type="gramStart"/>
            <w:r>
              <w:rPr>
                <w:b/>
              </w:rPr>
              <w:t>Non-Hispanic</w:t>
            </w:r>
            <w:proofErr w:type="gramEnd"/>
          </w:p>
        </w:tc>
      </w:tr>
      <w:tr w:rsidR="00A4199D" w14:paraId="66DFAA39" w14:textId="77777777">
        <w:trPr>
          <w:cantSplit/>
        </w:trPr>
        <w:tc>
          <w:tcPr>
            <w:tcW w:w="1572" w:type="dxa"/>
            <w:vMerge/>
          </w:tcPr>
          <w:p w14:paraId="65F91BFD" w14:textId="77777777" w:rsidR="00A4199D" w:rsidRDefault="00A4199D">
            <w:pPr>
              <w:keepNext/>
              <w:widowControl w:val="0"/>
              <w:spacing w:after="0" w:line="240" w:lineRule="auto"/>
              <w:jc w:val="center"/>
              <w:rPr>
                <w:b/>
              </w:rPr>
            </w:pPr>
          </w:p>
        </w:tc>
        <w:tc>
          <w:tcPr>
            <w:tcW w:w="800" w:type="dxa"/>
            <w:vMerge/>
          </w:tcPr>
          <w:p w14:paraId="20B3B837" w14:textId="77777777" w:rsidR="00A4199D" w:rsidRDefault="00A4199D">
            <w:pPr>
              <w:keepNext/>
              <w:widowControl w:val="0"/>
              <w:spacing w:after="0" w:line="240" w:lineRule="auto"/>
              <w:jc w:val="center"/>
              <w:rPr>
                <w:b/>
              </w:rPr>
            </w:pPr>
          </w:p>
        </w:tc>
        <w:tc>
          <w:tcPr>
            <w:tcW w:w="1495" w:type="dxa"/>
          </w:tcPr>
          <w:p w14:paraId="29AEE0C3" w14:textId="77777777" w:rsidR="00A4199D" w:rsidRDefault="000B6150">
            <w:pPr>
              <w:keepNext/>
              <w:widowControl w:val="0"/>
              <w:jc w:val="center"/>
              <w:rPr>
                <w:b/>
              </w:rPr>
            </w:pPr>
            <w:r>
              <w:rPr>
                <w:b/>
              </w:rPr>
              <w:t xml:space="preserve">Alaskan Native or American </w:t>
            </w:r>
            <w:r>
              <w:rPr>
                <w:b/>
              </w:rPr>
              <w:t>Indian</w:t>
            </w:r>
          </w:p>
        </w:tc>
        <w:tc>
          <w:tcPr>
            <w:tcW w:w="1399" w:type="dxa"/>
          </w:tcPr>
          <w:p w14:paraId="34F156F5" w14:textId="77777777" w:rsidR="00A4199D" w:rsidRDefault="000B6150">
            <w:pPr>
              <w:keepNext/>
              <w:widowControl w:val="0"/>
              <w:ind w:right="-28"/>
              <w:jc w:val="center"/>
              <w:rPr>
                <w:b/>
              </w:rPr>
            </w:pPr>
            <w:r>
              <w:rPr>
                <w:b/>
              </w:rPr>
              <w:t>Asian or Pacific Islander</w:t>
            </w:r>
          </w:p>
        </w:tc>
        <w:tc>
          <w:tcPr>
            <w:tcW w:w="1437" w:type="dxa"/>
          </w:tcPr>
          <w:p w14:paraId="29A1BEBC" w14:textId="77777777" w:rsidR="00A4199D" w:rsidRDefault="000B6150">
            <w:pPr>
              <w:keepNext/>
              <w:widowControl w:val="0"/>
              <w:jc w:val="center"/>
              <w:rPr>
                <w:b/>
              </w:rPr>
            </w:pPr>
            <w:r>
              <w:rPr>
                <w:b/>
              </w:rPr>
              <w:t xml:space="preserve">Black </w:t>
            </w:r>
            <w:proofErr w:type="gramStart"/>
            <w:r>
              <w:rPr>
                <w:b/>
              </w:rPr>
              <w:t>Non-Hispanic</w:t>
            </w:r>
            <w:proofErr w:type="gramEnd"/>
          </w:p>
        </w:tc>
        <w:tc>
          <w:tcPr>
            <w:tcW w:w="1436" w:type="dxa"/>
          </w:tcPr>
          <w:p w14:paraId="3D1F01F2" w14:textId="77777777" w:rsidR="00A4199D" w:rsidRDefault="000B6150">
            <w:pPr>
              <w:keepNext/>
              <w:widowControl w:val="0"/>
              <w:jc w:val="center"/>
              <w:rPr>
                <w:b/>
              </w:rPr>
            </w:pPr>
            <w:r>
              <w:rPr>
                <w:b/>
              </w:rPr>
              <w:t>Hispanic</w:t>
            </w:r>
          </w:p>
        </w:tc>
        <w:tc>
          <w:tcPr>
            <w:tcW w:w="1437" w:type="dxa"/>
            <w:vMerge/>
          </w:tcPr>
          <w:p w14:paraId="699A7DF9" w14:textId="77777777" w:rsidR="00A4199D" w:rsidRDefault="00A4199D">
            <w:pPr>
              <w:keepNext/>
              <w:widowControl w:val="0"/>
              <w:spacing w:after="0" w:line="240" w:lineRule="auto"/>
              <w:jc w:val="center"/>
              <w:rPr>
                <w:b/>
              </w:rPr>
            </w:pPr>
          </w:p>
        </w:tc>
      </w:tr>
      <w:tr w:rsidR="00A4199D" w14:paraId="50B1858F" w14:textId="77777777">
        <w:trPr>
          <w:cantSplit/>
        </w:trPr>
        <w:tc>
          <w:tcPr>
            <w:tcW w:w="1575" w:type="dxa"/>
          </w:tcPr>
          <w:p w14:paraId="2D9234B5" w14:textId="77777777" w:rsidR="00A4199D" w:rsidRDefault="000B6150">
            <w:pPr>
              <w:spacing w:beforeAutospacing="1" w:afterAutospacing="1"/>
            </w:pPr>
            <w:r>
              <w:rPr>
                <w:color w:val="000000"/>
              </w:rPr>
              <w:t>Number</w:t>
            </w:r>
          </w:p>
        </w:tc>
        <w:tc>
          <w:tcPr>
            <w:tcW w:w="801" w:type="dxa"/>
            <w:vAlign w:val="bottom"/>
          </w:tcPr>
          <w:p w14:paraId="5CFCE216" w14:textId="77777777" w:rsidR="00A4199D" w:rsidRDefault="000B6150">
            <w:pPr>
              <w:spacing w:beforeAutospacing="1" w:afterAutospacing="1"/>
              <w:jc w:val="right"/>
            </w:pPr>
            <w:r>
              <w:rPr>
                <w:color w:val="000000"/>
              </w:rPr>
              <w:t>0</w:t>
            </w:r>
          </w:p>
        </w:tc>
        <w:tc>
          <w:tcPr>
            <w:tcW w:w="1497" w:type="dxa"/>
            <w:vAlign w:val="bottom"/>
          </w:tcPr>
          <w:p w14:paraId="6C7A5A21" w14:textId="77777777" w:rsidR="00A4199D" w:rsidRDefault="000B6150">
            <w:pPr>
              <w:spacing w:beforeAutospacing="1" w:afterAutospacing="1"/>
              <w:jc w:val="right"/>
            </w:pPr>
            <w:r>
              <w:rPr>
                <w:color w:val="000000"/>
              </w:rPr>
              <w:t>0</w:t>
            </w:r>
          </w:p>
        </w:tc>
        <w:tc>
          <w:tcPr>
            <w:tcW w:w="1401" w:type="dxa"/>
            <w:vAlign w:val="bottom"/>
          </w:tcPr>
          <w:p w14:paraId="2CE092A9" w14:textId="77777777" w:rsidR="00A4199D" w:rsidRDefault="000B6150">
            <w:pPr>
              <w:spacing w:beforeAutospacing="1" w:afterAutospacing="1"/>
              <w:jc w:val="right"/>
            </w:pPr>
            <w:r>
              <w:rPr>
                <w:color w:val="000000"/>
              </w:rPr>
              <w:t>0</w:t>
            </w:r>
          </w:p>
        </w:tc>
        <w:tc>
          <w:tcPr>
            <w:tcW w:w="1439" w:type="dxa"/>
            <w:vAlign w:val="bottom"/>
          </w:tcPr>
          <w:p w14:paraId="3E671BCF" w14:textId="77777777" w:rsidR="00A4199D" w:rsidRDefault="000B6150">
            <w:pPr>
              <w:spacing w:beforeAutospacing="1" w:afterAutospacing="1"/>
              <w:jc w:val="right"/>
            </w:pPr>
            <w:r>
              <w:rPr>
                <w:color w:val="000000"/>
              </w:rPr>
              <w:t>0</w:t>
            </w:r>
          </w:p>
        </w:tc>
        <w:tc>
          <w:tcPr>
            <w:tcW w:w="1438" w:type="dxa"/>
            <w:vAlign w:val="bottom"/>
          </w:tcPr>
          <w:p w14:paraId="14A2B9CE" w14:textId="77777777" w:rsidR="00A4199D" w:rsidRDefault="000B6150">
            <w:pPr>
              <w:spacing w:beforeAutospacing="1" w:afterAutospacing="1"/>
              <w:jc w:val="right"/>
            </w:pPr>
            <w:r>
              <w:rPr>
                <w:color w:val="000000"/>
              </w:rPr>
              <w:t>0</w:t>
            </w:r>
          </w:p>
        </w:tc>
        <w:tc>
          <w:tcPr>
            <w:tcW w:w="1439" w:type="dxa"/>
            <w:vAlign w:val="bottom"/>
          </w:tcPr>
          <w:p w14:paraId="41BED300" w14:textId="77777777" w:rsidR="00A4199D" w:rsidRDefault="000B6150">
            <w:pPr>
              <w:spacing w:beforeAutospacing="1" w:afterAutospacing="1"/>
              <w:jc w:val="right"/>
            </w:pPr>
            <w:r>
              <w:rPr>
                <w:color w:val="000000"/>
              </w:rPr>
              <w:t>0</w:t>
            </w:r>
          </w:p>
        </w:tc>
      </w:tr>
      <w:tr w:rsidR="00A4199D" w14:paraId="44FDC0E7" w14:textId="77777777">
        <w:trPr>
          <w:cantSplit/>
        </w:trPr>
        <w:tc>
          <w:tcPr>
            <w:tcW w:w="1575" w:type="dxa"/>
          </w:tcPr>
          <w:p w14:paraId="455DA1A1" w14:textId="77777777" w:rsidR="00A4199D" w:rsidRDefault="000B6150">
            <w:pPr>
              <w:spacing w:beforeAutospacing="1" w:afterAutospacing="1"/>
            </w:pPr>
            <w:r>
              <w:rPr>
                <w:color w:val="000000"/>
              </w:rPr>
              <w:t>Cost</w:t>
            </w:r>
          </w:p>
        </w:tc>
        <w:tc>
          <w:tcPr>
            <w:tcW w:w="801" w:type="dxa"/>
            <w:vAlign w:val="bottom"/>
          </w:tcPr>
          <w:p w14:paraId="340E7FCC" w14:textId="77777777" w:rsidR="00A4199D" w:rsidRDefault="000B6150">
            <w:pPr>
              <w:spacing w:beforeAutospacing="1" w:afterAutospacing="1"/>
              <w:jc w:val="right"/>
            </w:pPr>
            <w:r>
              <w:rPr>
                <w:color w:val="000000"/>
              </w:rPr>
              <w:t>0</w:t>
            </w:r>
          </w:p>
        </w:tc>
        <w:tc>
          <w:tcPr>
            <w:tcW w:w="1497" w:type="dxa"/>
            <w:vAlign w:val="bottom"/>
          </w:tcPr>
          <w:p w14:paraId="2B497493" w14:textId="77777777" w:rsidR="00A4199D" w:rsidRDefault="000B6150">
            <w:pPr>
              <w:spacing w:beforeAutospacing="1" w:afterAutospacing="1"/>
              <w:jc w:val="right"/>
            </w:pPr>
            <w:r>
              <w:rPr>
                <w:color w:val="000000"/>
              </w:rPr>
              <w:t>0</w:t>
            </w:r>
          </w:p>
        </w:tc>
        <w:tc>
          <w:tcPr>
            <w:tcW w:w="1401" w:type="dxa"/>
            <w:vAlign w:val="bottom"/>
          </w:tcPr>
          <w:p w14:paraId="3C09FF79" w14:textId="77777777" w:rsidR="00A4199D" w:rsidRDefault="000B6150">
            <w:pPr>
              <w:spacing w:beforeAutospacing="1" w:afterAutospacing="1"/>
              <w:jc w:val="right"/>
            </w:pPr>
            <w:r>
              <w:rPr>
                <w:color w:val="000000"/>
              </w:rPr>
              <w:t>0</w:t>
            </w:r>
          </w:p>
        </w:tc>
        <w:tc>
          <w:tcPr>
            <w:tcW w:w="1439" w:type="dxa"/>
            <w:vAlign w:val="bottom"/>
          </w:tcPr>
          <w:p w14:paraId="669A9727" w14:textId="77777777" w:rsidR="00A4199D" w:rsidRDefault="000B6150">
            <w:pPr>
              <w:spacing w:beforeAutospacing="1" w:afterAutospacing="1"/>
              <w:jc w:val="right"/>
            </w:pPr>
            <w:r>
              <w:rPr>
                <w:color w:val="000000"/>
              </w:rPr>
              <w:t>0</w:t>
            </w:r>
          </w:p>
        </w:tc>
        <w:tc>
          <w:tcPr>
            <w:tcW w:w="1438" w:type="dxa"/>
            <w:vAlign w:val="bottom"/>
          </w:tcPr>
          <w:p w14:paraId="53A596F9" w14:textId="77777777" w:rsidR="00A4199D" w:rsidRDefault="000B6150">
            <w:pPr>
              <w:spacing w:beforeAutospacing="1" w:afterAutospacing="1"/>
              <w:jc w:val="right"/>
            </w:pPr>
            <w:r>
              <w:rPr>
                <w:color w:val="000000"/>
              </w:rPr>
              <w:t>0</w:t>
            </w:r>
          </w:p>
        </w:tc>
        <w:tc>
          <w:tcPr>
            <w:tcW w:w="1439" w:type="dxa"/>
            <w:vAlign w:val="bottom"/>
          </w:tcPr>
          <w:p w14:paraId="129DA633" w14:textId="77777777" w:rsidR="00A4199D" w:rsidRDefault="000B6150">
            <w:pPr>
              <w:spacing w:beforeAutospacing="1" w:afterAutospacing="1"/>
              <w:jc w:val="right"/>
            </w:pPr>
            <w:r>
              <w:rPr>
                <w:color w:val="000000"/>
              </w:rPr>
              <w:t>0</w:t>
            </w:r>
          </w:p>
        </w:tc>
      </w:tr>
    </w:tbl>
    <w:p w14:paraId="55DE379B"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Relocation and Real Property Acquisition</w:t>
      </w:r>
    </w:p>
    <w:p w14:paraId="49081F68" w14:textId="77777777" w:rsidR="00A4199D" w:rsidRDefault="00A4199D">
      <w:pPr>
        <w:spacing w:after="0" w:line="240" w:lineRule="auto"/>
        <w:rPr>
          <w:b/>
        </w:rPr>
      </w:pPr>
    </w:p>
    <w:p w14:paraId="57A9BA69" w14:textId="77777777" w:rsidR="00A4199D" w:rsidRDefault="00A4199D">
      <w:pPr>
        <w:spacing w:after="0" w:line="240" w:lineRule="auto"/>
        <w:rPr>
          <w:b/>
        </w:rPr>
      </w:pPr>
    </w:p>
    <w:p w14:paraId="256141FC" w14:textId="77777777" w:rsidR="00A4199D" w:rsidRDefault="00A4199D">
      <w:pPr>
        <w:widowControl w:val="0"/>
        <w:spacing w:after="0" w:line="240" w:lineRule="auto"/>
        <w:rPr>
          <w:sz w:val="24"/>
          <w:szCs w:val="24"/>
        </w:rPr>
      </w:pPr>
    </w:p>
    <w:p w14:paraId="1F2D3358" w14:textId="77777777" w:rsidR="00A4199D" w:rsidRDefault="00A4199D">
      <w:pPr>
        <w:spacing w:after="0" w:line="240" w:lineRule="auto"/>
      </w:pPr>
      <w:bookmarkStart w:id="1" w:name="_Toc309810475"/>
    </w:p>
    <w:p w14:paraId="241785CC" w14:textId="77777777" w:rsidR="00A4199D" w:rsidRDefault="00A4199D">
      <w:pPr>
        <w:sectPr w:rsidR="00A4199D">
          <w:pgSz w:w="12240" w:h="15840" w:code="1"/>
          <w:pgMar w:top="1440" w:right="1440" w:bottom="1440" w:left="1440" w:header="720" w:footer="720" w:gutter="0"/>
          <w:cols w:space="720"/>
          <w:docGrid w:linePitch="360"/>
        </w:sectPr>
      </w:pPr>
    </w:p>
    <w:p w14:paraId="357499E2" w14:textId="77777777" w:rsidR="00A4199D" w:rsidRDefault="000B6150">
      <w:pPr>
        <w:pStyle w:val="Heading2"/>
        <w:rPr>
          <w:rFonts w:ascii="Calibri" w:hAnsi="Calibri"/>
          <w:i w:val="0"/>
        </w:rPr>
      </w:pPr>
      <w:r>
        <w:rPr>
          <w:rFonts w:ascii="Calibri" w:hAnsi="Calibri"/>
          <w:i w:val="0"/>
        </w:rPr>
        <w:lastRenderedPageBreak/>
        <w:t>CR-20 - Affordable Housing 91.520(b)</w:t>
      </w:r>
    </w:p>
    <w:p w14:paraId="55404479" w14:textId="77777777" w:rsidR="00A4199D" w:rsidRDefault="000B6150">
      <w:pPr>
        <w:keepNext/>
        <w:widowControl w:val="0"/>
        <w:spacing w:after="0" w:line="240" w:lineRule="auto"/>
        <w:rPr>
          <w:b/>
          <w:sz w:val="24"/>
          <w:szCs w:val="24"/>
        </w:rPr>
      </w:pPr>
      <w:r>
        <w:rPr>
          <w:b/>
          <w:sz w:val="24"/>
          <w:szCs w:val="24"/>
        </w:rPr>
        <w:t xml:space="preserve">Evaluation of the </w:t>
      </w:r>
      <w:r>
        <w:rPr>
          <w:b/>
          <w:sz w:val="24"/>
          <w:szCs w:val="24"/>
        </w:rPr>
        <w:t xml:space="preserve">jurisdiction's progress in providing affordable housing, including the number and types of families served, the number of extremely low-income, low-income, moderate-income, and middle-income </w:t>
      </w:r>
      <w:proofErr w:type="gramStart"/>
      <w:r>
        <w:rPr>
          <w:b/>
          <w:sz w:val="24"/>
          <w:szCs w:val="24"/>
        </w:rPr>
        <w:t>persons</w:t>
      </w:r>
      <w:proofErr w:type="gramEnd"/>
      <w:r>
        <w:rPr>
          <w:b/>
          <w:sz w:val="24"/>
          <w:szCs w:val="24"/>
        </w:rPr>
        <w:t xml:space="preserve"> served.</w:t>
      </w:r>
    </w:p>
    <w:p w14:paraId="1D8FB9D7" w14:textId="77777777" w:rsidR="00A4199D" w:rsidRDefault="00A4199D">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A4199D" w14:paraId="0A0EA3D8" w14:textId="77777777">
        <w:trPr>
          <w:cantSplit/>
          <w:tblHeader/>
        </w:trPr>
        <w:tc>
          <w:tcPr>
            <w:tcW w:w="4293" w:type="dxa"/>
          </w:tcPr>
          <w:p w14:paraId="2DD92574" w14:textId="77777777" w:rsidR="00A4199D" w:rsidRDefault="00A4199D">
            <w:pPr>
              <w:pStyle w:val="Caption"/>
              <w:keepNext/>
              <w:widowControl w:val="0"/>
              <w:jc w:val="center"/>
              <w:rPr>
                <w:rFonts w:ascii="Calibri" w:hAnsi="Calibri"/>
                <w:sz w:val="22"/>
                <w:szCs w:val="22"/>
              </w:rPr>
            </w:pPr>
          </w:p>
        </w:tc>
        <w:tc>
          <w:tcPr>
            <w:tcW w:w="2648" w:type="dxa"/>
          </w:tcPr>
          <w:p w14:paraId="7E7E9D64" w14:textId="77777777" w:rsidR="00A4199D" w:rsidRDefault="000B6150">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5A6905C1" w14:textId="77777777" w:rsidR="00A4199D" w:rsidRDefault="000B6150">
            <w:pPr>
              <w:pStyle w:val="Caption"/>
              <w:keepNext/>
              <w:widowControl w:val="0"/>
              <w:jc w:val="center"/>
              <w:rPr>
                <w:rFonts w:ascii="Calibri" w:hAnsi="Calibri"/>
                <w:sz w:val="22"/>
                <w:szCs w:val="22"/>
              </w:rPr>
            </w:pPr>
            <w:r>
              <w:rPr>
                <w:rFonts w:ascii="Calibri" w:hAnsi="Calibri"/>
                <w:sz w:val="22"/>
                <w:szCs w:val="22"/>
              </w:rPr>
              <w:t>Actual</w:t>
            </w:r>
          </w:p>
        </w:tc>
      </w:tr>
      <w:tr w:rsidR="00A4199D" w14:paraId="618D4B50" w14:textId="77777777">
        <w:trPr>
          <w:cantSplit/>
        </w:trPr>
        <w:tc>
          <w:tcPr>
            <w:tcW w:w="4293" w:type="dxa"/>
            <w:vAlign w:val="bottom"/>
          </w:tcPr>
          <w:p w14:paraId="6EB04A11" w14:textId="77777777" w:rsidR="00A4199D" w:rsidRDefault="000B6150">
            <w:pPr>
              <w:spacing w:beforeAutospacing="1" w:afterAutospacing="1"/>
            </w:pPr>
            <w:r>
              <w:rPr>
                <w:color w:val="000000"/>
              </w:rPr>
              <w:t xml:space="preserve">Number of Homeless households to be </w:t>
            </w:r>
            <w:proofErr w:type="gramStart"/>
            <w:r>
              <w:rPr>
                <w:color w:val="000000"/>
              </w:rPr>
              <w:t>provided</w:t>
            </w:r>
            <w:proofErr w:type="gramEnd"/>
            <w:r>
              <w:rPr>
                <w:color w:val="000000"/>
              </w:rPr>
              <w:t xml:space="preserve"> affordable housing units</w:t>
            </w:r>
          </w:p>
        </w:tc>
        <w:tc>
          <w:tcPr>
            <w:tcW w:w="2648" w:type="dxa"/>
            <w:vAlign w:val="bottom"/>
          </w:tcPr>
          <w:p w14:paraId="7C165BA5" w14:textId="77777777" w:rsidR="00A4199D" w:rsidRDefault="000B6150">
            <w:pPr>
              <w:spacing w:beforeAutospacing="1" w:afterAutospacing="1"/>
              <w:jc w:val="right"/>
            </w:pPr>
            <w:r>
              <w:rPr>
                <w:color w:val="000000"/>
              </w:rPr>
              <w:t>45</w:t>
            </w:r>
          </w:p>
        </w:tc>
        <w:tc>
          <w:tcPr>
            <w:tcW w:w="2649" w:type="dxa"/>
            <w:vAlign w:val="bottom"/>
          </w:tcPr>
          <w:p w14:paraId="00C6B152" w14:textId="77777777" w:rsidR="00A4199D" w:rsidRDefault="000B6150">
            <w:pPr>
              <w:spacing w:beforeAutospacing="1" w:afterAutospacing="1"/>
              <w:jc w:val="right"/>
            </w:pPr>
            <w:r>
              <w:rPr>
                <w:color w:val="000000"/>
              </w:rPr>
              <w:t>75</w:t>
            </w:r>
          </w:p>
        </w:tc>
      </w:tr>
      <w:tr w:rsidR="00A4199D" w14:paraId="2CF05CA8" w14:textId="77777777">
        <w:trPr>
          <w:cantSplit/>
        </w:trPr>
        <w:tc>
          <w:tcPr>
            <w:tcW w:w="4293" w:type="dxa"/>
            <w:vAlign w:val="bottom"/>
          </w:tcPr>
          <w:p w14:paraId="048F2292" w14:textId="77777777" w:rsidR="00A4199D" w:rsidRDefault="000B6150">
            <w:pPr>
              <w:spacing w:beforeAutospacing="1" w:afterAutospacing="1"/>
            </w:pPr>
            <w:r>
              <w:rPr>
                <w:color w:val="000000"/>
              </w:rPr>
              <w:t xml:space="preserve">Number of </w:t>
            </w:r>
            <w:proofErr w:type="gramStart"/>
            <w:r>
              <w:rPr>
                <w:color w:val="000000"/>
              </w:rPr>
              <w:t>Non-Homeless</w:t>
            </w:r>
            <w:proofErr w:type="gramEnd"/>
            <w:r>
              <w:rPr>
                <w:color w:val="000000"/>
              </w:rPr>
              <w:t xml:space="preserve"> households to be </w:t>
            </w:r>
            <w:proofErr w:type="gramStart"/>
            <w:r>
              <w:rPr>
                <w:color w:val="000000"/>
              </w:rPr>
              <w:t>provided</w:t>
            </w:r>
            <w:proofErr w:type="gramEnd"/>
            <w:r>
              <w:rPr>
                <w:color w:val="000000"/>
              </w:rPr>
              <w:t xml:space="preserve"> affordable housing units</w:t>
            </w:r>
          </w:p>
        </w:tc>
        <w:tc>
          <w:tcPr>
            <w:tcW w:w="2648" w:type="dxa"/>
            <w:vAlign w:val="bottom"/>
          </w:tcPr>
          <w:p w14:paraId="022DE634" w14:textId="77777777" w:rsidR="00A4199D" w:rsidRDefault="000B6150">
            <w:pPr>
              <w:spacing w:beforeAutospacing="1" w:afterAutospacing="1"/>
              <w:jc w:val="right"/>
            </w:pPr>
            <w:r>
              <w:rPr>
                <w:color w:val="000000"/>
              </w:rPr>
              <w:t>2</w:t>
            </w:r>
          </w:p>
        </w:tc>
        <w:tc>
          <w:tcPr>
            <w:tcW w:w="2649" w:type="dxa"/>
            <w:vAlign w:val="bottom"/>
          </w:tcPr>
          <w:p w14:paraId="35E4FDFB" w14:textId="77777777" w:rsidR="00A4199D" w:rsidRDefault="000B6150">
            <w:pPr>
              <w:spacing w:beforeAutospacing="1" w:afterAutospacing="1"/>
              <w:jc w:val="right"/>
            </w:pPr>
            <w:r>
              <w:rPr>
                <w:color w:val="000000"/>
              </w:rPr>
              <w:t>0</w:t>
            </w:r>
          </w:p>
        </w:tc>
      </w:tr>
      <w:tr w:rsidR="00A4199D" w14:paraId="65337063" w14:textId="77777777">
        <w:trPr>
          <w:cantSplit/>
        </w:trPr>
        <w:tc>
          <w:tcPr>
            <w:tcW w:w="4293" w:type="dxa"/>
            <w:vAlign w:val="bottom"/>
          </w:tcPr>
          <w:p w14:paraId="1C1F54AD" w14:textId="77777777" w:rsidR="00A4199D" w:rsidRDefault="000B6150">
            <w:pPr>
              <w:spacing w:beforeAutospacing="1" w:afterAutospacing="1"/>
            </w:pPr>
            <w:r>
              <w:rPr>
                <w:color w:val="000000"/>
              </w:rPr>
              <w:t xml:space="preserve">Number of Special-Needs households to be </w:t>
            </w:r>
            <w:proofErr w:type="gramStart"/>
            <w:r>
              <w:rPr>
                <w:color w:val="000000"/>
              </w:rPr>
              <w:t>provided</w:t>
            </w:r>
            <w:proofErr w:type="gramEnd"/>
            <w:r>
              <w:rPr>
                <w:color w:val="000000"/>
              </w:rPr>
              <w:t xml:space="preserve"> affordable housing units</w:t>
            </w:r>
          </w:p>
        </w:tc>
        <w:tc>
          <w:tcPr>
            <w:tcW w:w="2648" w:type="dxa"/>
            <w:vAlign w:val="bottom"/>
          </w:tcPr>
          <w:p w14:paraId="79003ACC" w14:textId="77777777" w:rsidR="00A4199D" w:rsidRDefault="000B6150">
            <w:pPr>
              <w:spacing w:beforeAutospacing="1" w:afterAutospacing="1"/>
              <w:jc w:val="right"/>
            </w:pPr>
            <w:r>
              <w:rPr>
                <w:color w:val="000000"/>
              </w:rPr>
              <w:t>0</w:t>
            </w:r>
          </w:p>
        </w:tc>
        <w:tc>
          <w:tcPr>
            <w:tcW w:w="2649" w:type="dxa"/>
            <w:vAlign w:val="bottom"/>
          </w:tcPr>
          <w:p w14:paraId="18DCAF07" w14:textId="77777777" w:rsidR="00A4199D" w:rsidRDefault="000B6150">
            <w:pPr>
              <w:spacing w:beforeAutospacing="1" w:afterAutospacing="1"/>
              <w:jc w:val="right"/>
            </w:pPr>
            <w:r>
              <w:rPr>
                <w:color w:val="000000"/>
              </w:rPr>
              <w:t>0</w:t>
            </w:r>
          </w:p>
        </w:tc>
      </w:tr>
      <w:tr w:rsidR="00A4199D" w14:paraId="670BECED" w14:textId="77777777">
        <w:trPr>
          <w:cantSplit/>
        </w:trPr>
        <w:tc>
          <w:tcPr>
            <w:tcW w:w="4293" w:type="dxa"/>
          </w:tcPr>
          <w:p w14:paraId="016B85CC" w14:textId="77777777" w:rsidR="00A4199D" w:rsidRDefault="000B6150">
            <w:pPr>
              <w:spacing w:beforeAutospacing="1" w:afterAutospacing="1"/>
            </w:pPr>
            <w:r>
              <w:rPr>
                <w:b/>
                <w:color w:val="000000"/>
              </w:rPr>
              <w:t>Total</w:t>
            </w:r>
          </w:p>
        </w:tc>
        <w:tc>
          <w:tcPr>
            <w:tcW w:w="2648" w:type="dxa"/>
            <w:vAlign w:val="bottom"/>
          </w:tcPr>
          <w:p w14:paraId="14F891F1" w14:textId="77777777" w:rsidR="00A4199D" w:rsidRDefault="000B6150">
            <w:pPr>
              <w:spacing w:beforeAutospacing="1" w:afterAutospacing="1"/>
              <w:jc w:val="right"/>
            </w:pPr>
            <w:r>
              <w:rPr>
                <w:b/>
                <w:color w:val="000000"/>
              </w:rPr>
              <w:t>47</w:t>
            </w:r>
          </w:p>
        </w:tc>
        <w:tc>
          <w:tcPr>
            <w:tcW w:w="2649" w:type="dxa"/>
            <w:vAlign w:val="bottom"/>
          </w:tcPr>
          <w:p w14:paraId="1F039230" w14:textId="77777777" w:rsidR="00A4199D" w:rsidRDefault="000B6150">
            <w:pPr>
              <w:spacing w:beforeAutospacing="1" w:afterAutospacing="1"/>
              <w:jc w:val="right"/>
            </w:pPr>
            <w:r>
              <w:rPr>
                <w:b/>
                <w:color w:val="000000"/>
              </w:rPr>
              <w:t>75</w:t>
            </w:r>
          </w:p>
        </w:tc>
      </w:tr>
    </w:tbl>
    <w:p w14:paraId="4F8D2C1B"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14:paraId="75E1EE75" w14:textId="77777777" w:rsidR="00A4199D" w:rsidRDefault="00A4199D"/>
    <w:p w14:paraId="7785F8DC" w14:textId="77777777" w:rsidR="00A4199D" w:rsidRDefault="00A4199D"/>
    <w:p w14:paraId="69A90196" w14:textId="77777777" w:rsidR="00A4199D" w:rsidRDefault="00A4199D">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A4199D" w14:paraId="7A407370" w14:textId="77777777">
        <w:trPr>
          <w:cantSplit/>
          <w:tblHeader/>
        </w:trPr>
        <w:tc>
          <w:tcPr>
            <w:tcW w:w="4293" w:type="dxa"/>
          </w:tcPr>
          <w:p w14:paraId="13AEC677" w14:textId="77777777" w:rsidR="00A4199D" w:rsidRDefault="00A4199D">
            <w:pPr>
              <w:pStyle w:val="Caption"/>
              <w:keepNext/>
              <w:widowControl w:val="0"/>
              <w:jc w:val="center"/>
              <w:rPr>
                <w:rFonts w:ascii="Calibri" w:hAnsi="Calibri"/>
                <w:sz w:val="22"/>
                <w:szCs w:val="22"/>
              </w:rPr>
            </w:pPr>
          </w:p>
        </w:tc>
        <w:tc>
          <w:tcPr>
            <w:tcW w:w="2648" w:type="dxa"/>
          </w:tcPr>
          <w:p w14:paraId="33007715" w14:textId="77777777" w:rsidR="00A4199D" w:rsidRDefault="000B6150">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14:paraId="33E52EC8" w14:textId="77777777" w:rsidR="00A4199D" w:rsidRDefault="000B6150">
            <w:pPr>
              <w:pStyle w:val="Caption"/>
              <w:keepNext/>
              <w:widowControl w:val="0"/>
              <w:jc w:val="center"/>
              <w:rPr>
                <w:rFonts w:ascii="Calibri" w:hAnsi="Calibri"/>
                <w:sz w:val="22"/>
                <w:szCs w:val="22"/>
              </w:rPr>
            </w:pPr>
            <w:r>
              <w:rPr>
                <w:rFonts w:ascii="Calibri" w:hAnsi="Calibri"/>
                <w:sz w:val="22"/>
                <w:szCs w:val="22"/>
              </w:rPr>
              <w:t>Actual</w:t>
            </w:r>
          </w:p>
        </w:tc>
      </w:tr>
      <w:tr w:rsidR="00A4199D" w14:paraId="4508DA96" w14:textId="77777777">
        <w:trPr>
          <w:cantSplit/>
        </w:trPr>
        <w:tc>
          <w:tcPr>
            <w:tcW w:w="4293" w:type="dxa"/>
            <w:vAlign w:val="bottom"/>
          </w:tcPr>
          <w:p w14:paraId="15998627" w14:textId="77777777" w:rsidR="00A4199D" w:rsidRDefault="000B6150">
            <w:pPr>
              <w:spacing w:beforeAutospacing="1" w:afterAutospacing="1"/>
            </w:pPr>
            <w:r>
              <w:rPr>
                <w:color w:val="000000"/>
              </w:rPr>
              <w:t>Number of households supported through Rental Assistance</w:t>
            </w:r>
          </w:p>
        </w:tc>
        <w:tc>
          <w:tcPr>
            <w:tcW w:w="2648" w:type="dxa"/>
            <w:vAlign w:val="bottom"/>
          </w:tcPr>
          <w:p w14:paraId="3DBC4063" w14:textId="77777777" w:rsidR="00A4199D" w:rsidRDefault="000B6150">
            <w:pPr>
              <w:spacing w:beforeAutospacing="1" w:afterAutospacing="1"/>
              <w:jc w:val="right"/>
            </w:pPr>
            <w:r>
              <w:rPr>
                <w:color w:val="000000"/>
              </w:rPr>
              <w:t>40</w:t>
            </w:r>
          </w:p>
        </w:tc>
        <w:tc>
          <w:tcPr>
            <w:tcW w:w="2649" w:type="dxa"/>
            <w:vAlign w:val="bottom"/>
          </w:tcPr>
          <w:p w14:paraId="79FEF4F9" w14:textId="77777777" w:rsidR="00A4199D" w:rsidRDefault="000B6150">
            <w:pPr>
              <w:spacing w:beforeAutospacing="1" w:afterAutospacing="1"/>
              <w:jc w:val="right"/>
            </w:pPr>
            <w:r>
              <w:rPr>
                <w:color w:val="000000"/>
              </w:rPr>
              <w:t>32</w:t>
            </w:r>
          </w:p>
        </w:tc>
      </w:tr>
      <w:tr w:rsidR="00A4199D" w14:paraId="59615734" w14:textId="77777777">
        <w:trPr>
          <w:cantSplit/>
        </w:trPr>
        <w:tc>
          <w:tcPr>
            <w:tcW w:w="4293" w:type="dxa"/>
            <w:vAlign w:val="bottom"/>
          </w:tcPr>
          <w:p w14:paraId="7FB67625" w14:textId="77777777" w:rsidR="00A4199D" w:rsidRDefault="000B6150">
            <w:pPr>
              <w:spacing w:beforeAutospacing="1" w:afterAutospacing="1"/>
            </w:pPr>
            <w:r>
              <w:rPr>
                <w:color w:val="000000"/>
              </w:rPr>
              <w:t>Number of households supported through The Production of New Units</w:t>
            </w:r>
          </w:p>
        </w:tc>
        <w:tc>
          <w:tcPr>
            <w:tcW w:w="2648" w:type="dxa"/>
            <w:vAlign w:val="bottom"/>
          </w:tcPr>
          <w:p w14:paraId="15DF587D" w14:textId="77777777" w:rsidR="00A4199D" w:rsidRDefault="000B6150">
            <w:pPr>
              <w:spacing w:beforeAutospacing="1" w:afterAutospacing="1"/>
              <w:jc w:val="right"/>
            </w:pPr>
            <w:r>
              <w:rPr>
                <w:color w:val="000000"/>
              </w:rPr>
              <w:t>7</w:t>
            </w:r>
          </w:p>
        </w:tc>
        <w:tc>
          <w:tcPr>
            <w:tcW w:w="2649" w:type="dxa"/>
            <w:vAlign w:val="bottom"/>
          </w:tcPr>
          <w:p w14:paraId="34526E61" w14:textId="77777777" w:rsidR="00A4199D" w:rsidRDefault="000B6150">
            <w:pPr>
              <w:spacing w:beforeAutospacing="1" w:afterAutospacing="1"/>
              <w:jc w:val="right"/>
            </w:pPr>
            <w:r>
              <w:rPr>
                <w:color w:val="000000"/>
              </w:rPr>
              <w:t>5</w:t>
            </w:r>
          </w:p>
        </w:tc>
      </w:tr>
      <w:tr w:rsidR="00A4199D" w14:paraId="2A700BE1" w14:textId="77777777">
        <w:trPr>
          <w:cantSplit/>
        </w:trPr>
        <w:tc>
          <w:tcPr>
            <w:tcW w:w="4293" w:type="dxa"/>
            <w:vAlign w:val="bottom"/>
          </w:tcPr>
          <w:p w14:paraId="065B492D" w14:textId="77777777" w:rsidR="00A4199D" w:rsidRDefault="000B6150">
            <w:pPr>
              <w:spacing w:beforeAutospacing="1" w:afterAutospacing="1"/>
            </w:pPr>
            <w:r>
              <w:rPr>
                <w:color w:val="000000"/>
              </w:rPr>
              <w:t>Number of households supported through Rehab of Existing Units</w:t>
            </w:r>
          </w:p>
        </w:tc>
        <w:tc>
          <w:tcPr>
            <w:tcW w:w="2648" w:type="dxa"/>
            <w:vAlign w:val="bottom"/>
          </w:tcPr>
          <w:p w14:paraId="7712EA4F" w14:textId="77777777" w:rsidR="00A4199D" w:rsidRDefault="000B6150">
            <w:pPr>
              <w:spacing w:beforeAutospacing="1" w:afterAutospacing="1"/>
              <w:jc w:val="right"/>
            </w:pPr>
            <w:r>
              <w:rPr>
                <w:color w:val="000000"/>
              </w:rPr>
              <w:t>0</w:t>
            </w:r>
          </w:p>
        </w:tc>
        <w:tc>
          <w:tcPr>
            <w:tcW w:w="2649" w:type="dxa"/>
            <w:vAlign w:val="bottom"/>
          </w:tcPr>
          <w:p w14:paraId="2BB3C3EC" w14:textId="77777777" w:rsidR="00A4199D" w:rsidRDefault="000B6150">
            <w:pPr>
              <w:spacing w:beforeAutospacing="1" w:afterAutospacing="1"/>
              <w:jc w:val="right"/>
            </w:pPr>
            <w:r>
              <w:rPr>
                <w:color w:val="000000"/>
              </w:rPr>
              <w:t>0</w:t>
            </w:r>
          </w:p>
        </w:tc>
      </w:tr>
      <w:tr w:rsidR="00A4199D" w14:paraId="50EF106D" w14:textId="77777777">
        <w:trPr>
          <w:cantSplit/>
        </w:trPr>
        <w:tc>
          <w:tcPr>
            <w:tcW w:w="4293" w:type="dxa"/>
            <w:vAlign w:val="bottom"/>
          </w:tcPr>
          <w:p w14:paraId="278473BB" w14:textId="77777777" w:rsidR="00A4199D" w:rsidRDefault="000B6150">
            <w:pPr>
              <w:spacing w:beforeAutospacing="1" w:afterAutospacing="1"/>
            </w:pPr>
            <w:r>
              <w:rPr>
                <w:color w:val="000000"/>
              </w:rPr>
              <w:t>Number of households supported through Acquisition of Existing Units</w:t>
            </w:r>
          </w:p>
        </w:tc>
        <w:tc>
          <w:tcPr>
            <w:tcW w:w="2648" w:type="dxa"/>
            <w:vAlign w:val="bottom"/>
          </w:tcPr>
          <w:p w14:paraId="1F58A13B" w14:textId="77777777" w:rsidR="00A4199D" w:rsidRDefault="000B6150">
            <w:pPr>
              <w:spacing w:beforeAutospacing="1" w:afterAutospacing="1"/>
              <w:jc w:val="right"/>
            </w:pPr>
            <w:r>
              <w:rPr>
                <w:color w:val="000000"/>
              </w:rPr>
              <w:t>0</w:t>
            </w:r>
          </w:p>
        </w:tc>
        <w:tc>
          <w:tcPr>
            <w:tcW w:w="2649" w:type="dxa"/>
            <w:vAlign w:val="bottom"/>
          </w:tcPr>
          <w:p w14:paraId="262E152C" w14:textId="77777777" w:rsidR="00A4199D" w:rsidRDefault="000B6150">
            <w:pPr>
              <w:spacing w:beforeAutospacing="1" w:afterAutospacing="1"/>
              <w:jc w:val="right"/>
            </w:pPr>
            <w:r>
              <w:rPr>
                <w:color w:val="000000"/>
              </w:rPr>
              <w:t>0</w:t>
            </w:r>
          </w:p>
        </w:tc>
      </w:tr>
      <w:tr w:rsidR="00A4199D" w14:paraId="1BDD8606" w14:textId="77777777">
        <w:trPr>
          <w:cantSplit/>
        </w:trPr>
        <w:tc>
          <w:tcPr>
            <w:tcW w:w="4293" w:type="dxa"/>
          </w:tcPr>
          <w:p w14:paraId="7E55FE76" w14:textId="77777777" w:rsidR="00A4199D" w:rsidRDefault="000B6150">
            <w:pPr>
              <w:spacing w:beforeAutospacing="1" w:afterAutospacing="1"/>
            </w:pPr>
            <w:r>
              <w:rPr>
                <w:b/>
                <w:color w:val="000000"/>
              </w:rPr>
              <w:t>Total</w:t>
            </w:r>
          </w:p>
        </w:tc>
        <w:tc>
          <w:tcPr>
            <w:tcW w:w="2648" w:type="dxa"/>
            <w:vAlign w:val="bottom"/>
          </w:tcPr>
          <w:p w14:paraId="440FDF0A" w14:textId="77777777" w:rsidR="00A4199D" w:rsidRDefault="000B6150">
            <w:pPr>
              <w:spacing w:beforeAutospacing="1" w:afterAutospacing="1"/>
              <w:jc w:val="right"/>
            </w:pPr>
            <w:r>
              <w:rPr>
                <w:b/>
                <w:color w:val="000000"/>
              </w:rPr>
              <w:t>47</w:t>
            </w:r>
          </w:p>
        </w:tc>
        <w:tc>
          <w:tcPr>
            <w:tcW w:w="2649" w:type="dxa"/>
            <w:vAlign w:val="bottom"/>
          </w:tcPr>
          <w:p w14:paraId="2FEC6B4F" w14:textId="77777777" w:rsidR="00A4199D" w:rsidRDefault="000B6150">
            <w:pPr>
              <w:spacing w:beforeAutospacing="1" w:afterAutospacing="1"/>
              <w:jc w:val="right"/>
            </w:pPr>
            <w:r>
              <w:rPr>
                <w:b/>
                <w:color w:val="000000"/>
              </w:rPr>
              <w:t>37</w:t>
            </w:r>
          </w:p>
        </w:tc>
      </w:tr>
    </w:tbl>
    <w:p w14:paraId="1C6B633B"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14:paraId="5ECA9A1C" w14:textId="77777777" w:rsidR="00A4199D" w:rsidRDefault="00A4199D">
      <w:pPr>
        <w:rPr>
          <w:rFonts w:cs="Arial"/>
        </w:rPr>
      </w:pPr>
    </w:p>
    <w:p w14:paraId="1D870F8C" w14:textId="77777777" w:rsidR="00A4199D" w:rsidRDefault="00A4199D">
      <w:pPr>
        <w:rPr>
          <w:rFonts w:cs="Arial"/>
        </w:rPr>
      </w:pPr>
    </w:p>
    <w:p w14:paraId="616C2C7F" w14:textId="77777777" w:rsidR="00A4199D" w:rsidRDefault="000B6150">
      <w:pPr>
        <w:widowControl w:val="0"/>
        <w:spacing w:line="204" w:lineRule="auto"/>
        <w:rPr>
          <w:b/>
          <w:sz w:val="24"/>
          <w:szCs w:val="24"/>
        </w:rPr>
      </w:pPr>
      <w:r>
        <w:rPr>
          <w:b/>
          <w:sz w:val="24"/>
          <w:szCs w:val="24"/>
        </w:rPr>
        <w:t>Discuss the difference between goals and outcomes and problems encountered in meeting these goals.</w:t>
      </w:r>
    </w:p>
    <w:p w14:paraId="0DF3FEA6" w14:textId="77777777" w:rsidR="00A4199D" w:rsidRDefault="000B6150">
      <w:pPr>
        <w:spacing w:beforeAutospacing="1" w:afterAutospacing="1"/>
        <w:rPr>
          <w:rFonts w:cs="Arial"/>
        </w:rPr>
      </w:pPr>
      <w:r>
        <w:rPr>
          <w:rFonts w:cs="Arial"/>
        </w:rPr>
        <w:t xml:space="preserve">We saw an increase in TBRA spending as expected and high demand on eviction prevention services.  All three Consortium regions are facing a loss of an abundance of funding to provide eviction </w:t>
      </w:r>
      <w:proofErr w:type="gramStart"/>
      <w:r>
        <w:rPr>
          <w:rFonts w:cs="Arial"/>
        </w:rPr>
        <w:t>prevention</w:t>
      </w:r>
      <w:proofErr w:type="gramEnd"/>
      <w:r>
        <w:rPr>
          <w:rFonts w:cs="Arial"/>
        </w:rPr>
        <w:t xml:space="preserve"> and we anticipate this to have a negative effect on our communities. We expect evictions </w:t>
      </w:r>
      <w:proofErr w:type="spellStart"/>
      <w:proofErr w:type="gramStart"/>
      <w:r>
        <w:rPr>
          <w:rFonts w:cs="Arial"/>
        </w:rPr>
        <w:t>ro</w:t>
      </w:r>
      <w:proofErr w:type="spellEnd"/>
      <w:r>
        <w:rPr>
          <w:rFonts w:cs="Arial"/>
        </w:rPr>
        <w:t xml:space="preserve"> rise</w:t>
      </w:r>
      <w:proofErr w:type="gramEnd"/>
      <w:r>
        <w:rPr>
          <w:rFonts w:cs="Arial"/>
        </w:rPr>
        <w:t xml:space="preserve"> along with the numbers of people experiencing homelessness and risk of homelessness.  Households are staying longer in rental assistance programs such as TBRA, housing costs are </w:t>
      </w:r>
      <w:proofErr w:type="gramStart"/>
      <w:r>
        <w:rPr>
          <w:rFonts w:cs="Arial"/>
        </w:rPr>
        <w:t>increasing,  and</w:t>
      </w:r>
      <w:proofErr w:type="gramEnd"/>
      <w:r>
        <w:rPr>
          <w:rFonts w:cs="Arial"/>
        </w:rPr>
        <w:t xml:space="preserve"> therefore agencies are serving a lower number of total households.</w:t>
      </w:r>
    </w:p>
    <w:p w14:paraId="647CD91B" w14:textId="77777777" w:rsidR="00A4199D" w:rsidRDefault="00A4199D">
      <w:pPr>
        <w:spacing w:beforeAutospacing="1" w:afterAutospacing="1"/>
        <w:rPr>
          <w:rFonts w:cs="Arial"/>
        </w:rPr>
      </w:pPr>
    </w:p>
    <w:p w14:paraId="24A1C07E" w14:textId="77777777" w:rsidR="00A4199D" w:rsidRDefault="000B6150">
      <w:pPr>
        <w:spacing w:beforeAutospacing="1" w:afterAutospacing="1"/>
        <w:rPr>
          <w:rFonts w:cs="Arial"/>
        </w:rPr>
      </w:pPr>
      <w:r>
        <w:rPr>
          <w:rFonts w:cs="Arial"/>
        </w:rPr>
        <w:t>The other hurdles we encountered in operating rental assistance programs from previous years are still in existence today: </w:t>
      </w:r>
    </w:p>
    <w:p w14:paraId="6C6279E3" w14:textId="77777777" w:rsidR="00A4199D" w:rsidRDefault="000B6150">
      <w:pPr>
        <w:spacing w:beforeAutospacing="1" w:afterAutospacing="1"/>
        <w:rPr>
          <w:rFonts w:cs="Arial"/>
        </w:rPr>
      </w:pPr>
      <w:r>
        <w:rPr>
          <w:rFonts w:cs="Arial"/>
        </w:rPr>
        <w:t>1. Availability of rental housing within the payment standards is extremely limited across the Consortium Region, causing significant delays in families leasing up. The average length of housing search has been increasing with many households taking more than 60 days to secure a unit.</w:t>
      </w:r>
    </w:p>
    <w:p w14:paraId="18EAEAAF" w14:textId="77777777" w:rsidR="00A4199D" w:rsidRDefault="000B6150">
      <w:pPr>
        <w:spacing w:beforeAutospacing="1" w:afterAutospacing="1"/>
        <w:rPr>
          <w:rFonts w:cs="Arial"/>
        </w:rPr>
      </w:pPr>
      <w:r>
        <w:rPr>
          <w:rFonts w:cs="Arial"/>
        </w:rPr>
        <w:t xml:space="preserve">2. TBRA vouchers are prioritized by Coordinated Entry, and households typically have several significant barriers to housing, such as </w:t>
      </w:r>
      <w:proofErr w:type="gramStart"/>
      <w:r>
        <w:rPr>
          <w:rFonts w:cs="Arial"/>
        </w:rPr>
        <w:t>a credit</w:t>
      </w:r>
      <w:proofErr w:type="gramEnd"/>
      <w:r>
        <w:rPr>
          <w:rFonts w:cs="Arial"/>
        </w:rPr>
        <w:t xml:space="preserve"> issues, criminal background and/or eviction history. The Consortium is seeking to improve the local Coordinated Entry systems.  We are working with TBRA providers to increase enrollments from shelter to </w:t>
      </w:r>
      <w:proofErr w:type="gramStart"/>
      <w:r>
        <w:rPr>
          <w:rFonts w:cs="Arial"/>
        </w:rPr>
        <w:t>TBRA</w:t>
      </w:r>
      <w:proofErr w:type="gramEnd"/>
      <w:r>
        <w:rPr>
          <w:rFonts w:cs="Arial"/>
        </w:rPr>
        <w:t xml:space="preserve"> so households are more engaged in case management and housing search while in shelter. We anticipate this approach to be an effective strategy for engagement.</w:t>
      </w:r>
    </w:p>
    <w:p w14:paraId="073A00BD" w14:textId="77777777" w:rsidR="00A4199D" w:rsidRDefault="000B6150">
      <w:pPr>
        <w:spacing w:beforeAutospacing="1" w:afterAutospacing="1"/>
        <w:rPr>
          <w:rFonts w:cs="Arial"/>
        </w:rPr>
      </w:pPr>
      <w:r>
        <w:rPr>
          <w:rFonts w:cs="Arial"/>
        </w:rPr>
        <w:t xml:space="preserve">3. Vacancy rates are extremely low coupled with </w:t>
      </w:r>
      <w:proofErr w:type="gramStart"/>
      <w:r>
        <w:rPr>
          <w:rFonts w:cs="Arial"/>
        </w:rPr>
        <w:t>severe</w:t>
      </w:r>
      <w:proofErr w:type="gramEnd"/>
      <w:r>
        <w:rPr>
          <w:rFonts w:cs="Arial"/>
        </w:rPr>
        <w:t xml:space="preserve"> increase in the price of rent across the three counties makes it extremely difficult for anyone in any income level to lease a housing unit.</w:t>
      </w:r>
    </w:p>
    <w:p w14:paraId="573AF8DF" w14:textId="77777777" w:rsidR="00A4199D" w:rsidRDefault="000B6150">
      <w:pPr>
        <w:spacing w:beforeAutospacing="1" w:afterAutospacing="1"/>
        <w:rPr>
          <w:rFonts w:cs="Arial"/>
        </w:rPr>
      </w:pPr>
      <w:r>
        <w:rPr>
          <w:rFonts w:cs="Arial"/>
        </w:rPr>
        <w:t xml:space="preserve">4. Across the Consortium region providers struggled with staffing gaps and retention, wages for these positions are not competitive and direct service staff are also struggling.  Agencies lack funding to pay case managers for their work, especially when administering TBRA through HOME </w:t>
      </w:r>
      <w:proofErr w:type="gramStart"/>
      <w:r>
        <w:rPr>
          <w:rFonts w:cs="Arial"/>
        </w:rPr>
        <w:t>funds</w:t>
      </w:r>
      <w:proofErr w:type="gramEnd"/>
      <w:r>
        <w:rPr>
          <w:rFonts w:cs="Arial"/>
        </w:rPr>
        <w:t xml:space="preserve"> which do not pay for staffing costs.</w:t>
      </w:r>
    </w:p>
    <w:p w14:paraId="0C6A7548" w14:textId="77777777" w:rsidR="00A4199D" w:rsidRDefault="000B6150">
      <w:pPr>
        <w:widowControl w:val="0"/>
        <w:spacing w:line="204" w:lineRule="auto"/>
        <w:rPr>
          <w:b/>
          <w:sz w:val="24"/>
          <w:szCs w:val="24"/>
        </w:rPr>
      </w:pPr>
      <w:r>
        <w:rPr>
          <w:b/>
          <w:sz w:val="24"/>
          <w:szCs w:val="24"/>
        </w:rPr>
        <w:t>Discuss how these outcomes will impact future annual action plans.</w:t>
      </w:r>
    </w:p>
    <w:p w14:paraId="6B21FEB4" w14:textId="77777777" w:rsidR="00A4199D" w:rsidRDefault="000B6150">
      <w:pPr>
        <w:spacing w:beforeAutospacing="1" w:afterAutospacing="1"/>
        <w:rPr>
          <w:rFonts w:cs="Arial"/>
        </w:rPr>
      </w:pPr>
      <w:r>
        <w:rPr>
          <w:rFonts w:cs="Arial"/>
        </w:rPr>
        <w:t>The Consortium will look toward prioritizing development projects to increase the affordable housing supply.</w:t>
      </w:r>
    </w:p>
    <w:p w14:paraId="12353E66" w14:textId="77777777" w:rsidR="00A4199D" w:rsidRDefault="000B6150">
      <w:pPr>
        <w:keepNext/>
        <w:widowControl w:val="0"/>
        <w:spacing w:line="204" w:lineRule="auto"/>
        <w:rPr>
          <w:b/>
          <w:sz w:val="24"/>
          <w:szCs w:val="24"/>
        </w:rPr>
      </w:pPr>
      <w:r>
        <w:rPr>
          <w:b/>
          <w:sz w:val="24"/>
          <w:szCs w:val="24"/>
        </w:rPr>
        <w:t xml:space="preserve">Include the number of extremely low-income, low-income, and moderate-income </w:t>
      </w:r>
      <w:proofErr w:type="gramStart"/>
      <w:r>
        <w:rPr>
          <w:b/>
          <w:sz w:val="24"/>
          <w:szCs w:val="24"/>
        </w:rPr>
        <w:t>persons</w:t>
      </w:r>
      <w:proofErr w:type="gramEnd"/>
      <w:r>
        <w:rPr>
          <w:b/>
          <w:sz w:val="24"/>
          <w:szCs w:val="24"/>
        </w:rPr>
        <w:t xml:space="preserve"> served by each activity where information on income by family size is required to </w:t>
      </w:r>
      <w:r>
        <w:rPr>
          <w:b/>
          <w:sz w:val="24"/>
          <w:szCs w:val="24"/>
        </w:rPr>
        <w:t>determine the eligibility of the activity.</w:t>
      </w:r>
    </w:p>
    <w:p w14:paraId="1FA77E09" w14:textId="77777777" w:rsidR="00A4199D" w:rsidRDefault="00A4199D">
      <w:pPr>
        <w:widowControl w:val="0"/>
        <w:spacing w:line="204"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A4199D" w14:paraId="24EAFD76" w14:textId="77777777">
        <w:trPr>
          <w:cantSplit/>
        </w:trPr>
        <w:tc>
          <w:tcPr>
            <w:tcW w:w="4081" w:type="dxa"/>
          </w:tcPr>
          <w:p w14:paraId="779AF4D6" w14:textId="77777777" w:rsidR="00A4199D" w:rsidRDefault="000B6150">
            <w:pPr>
              <w:keepNext/>
              <w:widowControl w:val="0"/>
              <w:spacing w:after="0" w:line="240" w:lineRule="auto"/>
              <w:jc w:val="center"/>
              <w:rPr>
                <w:b/>
              </w:rPr>
            </w:pPr>
            <w:proofErr w:type="gramStart"/>
            <w:r>
              <w:rPr>
                <w:b/>
              </w:rPr>
              <w:t>Number  of</w:t>
            </w:r>
            <w:proofErr w:type="gramEnd"/>
            <w:r>
              <w:rPr>
                <w:b/>
              </w:rPr>
              <w:t xml:space="preserve"> Households Served</w:t>
            </w:r>
          </w:p>
        </w:tc>
        <w:tc>
          <w:tcPr>
            <w:tcW w:w="1859" w:type="dxa"/>
          </w:tcPr>
          <w:p w14:paraId="0EAFA038" w14:textId="77777777" w:rsidR="00A4199D" w:rsidRDefault="000B6150">
            <w:pPr>
              <w:keepNext/>
              <w:widowControl w:val="0"/>
              <w:spacing w:after="0" w:line="240" w:lineRule="auto"/>
              <w:jc w:val="center"/>
              <w:rPr>
                <w:b/>
              </w:rPr>
            </w:pPr>
            <w:r>
              <w:rPr>
                <w:b/>
              </w:rPr>
              <w:t>CDBG Actual</w:t>
            </w:r>
          </w:p>
        </w:tc>
        <w:tc>
          <w:tcPr>
            <w:tcW w:w="1915" w:type="dxa"/>
            <w:gridSpan w:val="2"/>
          </w:tcPr>
          <w:p w14:paraId="02A23C2B" w14:textId="77777777" w:rsidR="00A4199D" w:rsidRDefault="000B6150">
            <w:pPr>
              <w:keepNext/>
              <w:widowControl w:val="0"/>
              <w:spacing w:after="0" w:line="240" w:lineRule="auto"/>
              <w:jc w:val="center"/>
              <w:rPr>
                <w:b/>
              </w:rPr>
            </w:pPr>
            <w:r>
              <w:rPr>
                <w:b/>
              </w:rPr>
              <w:t>HOME Actual</w:t>
            </w:r>
          </w:p>
        </w:tc>
      </w:tr>
      <w:tr w:rsidR="00A4199D" w14:paraId="56DFFF6D" w14:textId="77777777">
        <w:trPr>
          <w:gridAfter w:val="1"/>
          <w:wAfter w:w="25" w:type="dxa"/>
          <w:cantSplit/>
        </w:trPr>
        <w:tc>
          <w:tcPr>
            <w:tcW w:w="4081" w:type="dxa"/>
            <w:vAlign w:val="bottom"/>
          </w:tcPr>
          <w:p w14:paraId="660A686A" w14:textId="77777777" w:rsidR="00A4199D" w:rsidRDefault="000B6150">
            <w:pPr>
              <w:spacing w:beforeAutospacing="1" w:afterAutospacing="1"/>
            </w:pPr>
            <w:r>
              <w:rPr>
                <w:color w:val="000000"/>
              </w:rPr>
              <w:t>Extremely Low-income</w:t>
            </w:r>
          </w:p>
        </w:tc>
        <w:tc>
          <w:tcPr>
            <w:tcW w:w="1859" w:type="dxa"/>
            <w:vAlign w:val="bottom"/>
          </w:tcPr>
          <w:p w14:paraId="3854A577" w14:textId="77777777" w:rsidR="00A4199D" w:rsidRDefault="000B6150">
            <w:pPr>
              <w:spacing w:beforeAutospacing="1" w:afterAutospacing="1"/>
              <w:jc w:val="right"/>
            </w:pPr>
            <w:r>
              <w:rPr>
                <w:color w:val="000000"/>
              </w:rPr>
              <w:t>0</w:t>
            </w:r>
          </w:p>
        </w:tc>
        <w:tc>
          <w:tcPr>
            <w:tcW w:w="1890" w:type="dxa"/>
            <w:vAlign w:val="bottom"/>
          </w:tcPr>
          <w:p w14:paraId="225CA2D8" w14:textId="77777777" w:rsidR="00A4199D" w:rsidRDefault="000B6150">
            <w:pPr>
              <w:spacing w:beforeAutospacing="1" w:afterAutospacing="1"/>
              <w:jc w:val="right"/>
            </w:pPr>
            <w:r>
              <w:rPr>
                <w:color w:val="000000"/>
              </w:rPr>
              <w:t>31</w:t>
            </w:r>
          </w:p>
        </w:tc>
      </w:tr>
      <w:tr w:rsidR="00A4199D" w14:paraId="07AD0936" w14:textId="77777777">
        <w:trPr>
          <w:gridAfter w:val="1"/>
          <w:wAfter w:w="25" w:type="dxa"/>
          <w:cantSplit/>
        </w:trPr>
        <w:tc>
          <w:tcPr>
            <w:tcW w:w="4081" w:type="dxa"/>
            <w:vAlign w:val="bottom"/>
          </w:tcPr>
          <w:p w14:paraId="6A56D2F5" w14:textId="77777777" w:rsidR="00A4199D" w:rsidRDefault="000B6150">
            <w:pPr>
              <w:spacing w:beforeAutospacing="1" w:afterAutospacing="1"/>
            </w:pPr>
            <w:r>
              <w:rPr>
                <w:color w:val="000000"/>
              </w:rPr>
              <w:t>Low-income</w:t>
            </w:r>
          </w:p>
        </w:tc>
        <w:tc>
          <w:tcPr>
            <w:tcW w:w="1859" w:type="dxa"/>
            <w:vAlign w:val="bottom"/>
          </w:tcPr>
          <w:p w14:paraId="1FE80375" w14:textId="77777777" w:rsidR="00A4199D" w:rsidRDefault="000B6150">
            <w:pPr>
              <w:spacing w:beforeAutospacing="1" w:afterAutospacing="1"/>
              <w:jc w:val="right"/>
            </w:pPr>
            <w:r>
              <w:rPr>
                <w:color w:val="000000"/>
              </w:rPr>
              <w:t>0</w:t>
            </w:r>
          </w:p>
        </w:tc>
        <w:tc>
          <w:tcPr>
            <w:tcW w:w="1890" w:type="dxa"/>
            <w:vAlign w:val="bottom"/>
          </w:tcPr>
          <w:p w14:paraId="22D95C0C" w14:textId="77777777" w:rsidR="00A4199D" w:rsidRDefault="000B6150">
            <w:pPr>
              <w:spacing w:beforeAutospacing="1" w:afterAutospacing="1"/>
              <w:jc w:val="right"/>
            </w:pPr>
            <w:r>
              <w:rPr>
                <w:color w:val="000000"/>
              </w:rPr>
              <w:t>1</w:t>
            </w:r>
          </w:p>
        </w:tc>
      </w:tr>
      <w:tr w:rsidR="00A4199D" w14:paraId="136DBB0F" w14:textId="77777777">
        <w:trPr>
          <w:gridAfter w:val="1"/>
          <w:wAfter w:w="25" w:type="dxa"/>
          <w:cantSplit/>
        </w:trPr>
        <w:tc>
          <w:tcPr>
            <w:tcW w:w="4081" w:type="dxa"/>
            <w:vAlign w:val="bottom"/>
          </w:tcPr>
          <w:p w14:paraId="14470FB9" w14:textId="77777777" w:rsidR="00A4199D" w:rsidRDefault="000B6150">
            <w:pPr>
              <w:spacing w:beforeAutospacing="1" w:afterAutospacing="1"/>
            </w:pPr>
            <w:r>
              <w:rPr>
                <w:color w:val="000000"/>
              </w:rPr>
              <w:t>Moderate-income</w:t>
            </w:r>
          </w:p>
        </w:tc>
        <w:tc>
          <w:tcPr>
            <w:tcW w:w="1859" w:type="dxa"/>
            <w:vAlign w:val="bottom"/>
          </w:tcPr>
          <w:p w14:paraId="0532DB0B" w14:textId="77777777" w:rsidR="00A4199D" w:rsidRDefault="000B6150">
            <w:pPr>
              <w:spacing w:beforeAutospacing="1" w:afterAutospacing="1"/>
              <w:jc w:val="right"/>
            </w:pPr>
            <w:r>
              <w:rPr>
                <w:color w:val="000000"/>
              </w:rPr>
              <w:t>0</w:t>
            </w:r>
          </w:p>
        </w:tc>
        <w:tc>
          <w:tcPr>
            <w:tcW w:w="1890" w:type="dxa"/>
            <w:vAlign w:val="bottom"/>
          </w:tcPr>
          <w:p w14:paraId="0B09D645" w14:textId="77777777" w:rsidR="00A4199D" w:rsidRDefault="000B6150">
            <w:pPr>
              <w:spacing w:beforeAutospacing="1" w:afterAutospacing="1"/>
              <w:jc w:val="right"/>
            </w:pPr>
            <w:r>
              <w:rPr>
                <w:color w:val="000000"/>
              </w:rPr>
              <w:t>0</w:t>
            </w:r>
          </w:p>
        </w:tc>
      </w:tr>
      <w:tr w:rsidR="00A4199D" w14:paraId="5E7066B4" w14:textId="77777777">
        <w:trPr>
          <w:gridAfter w:val="1"/>
          <w:wAfter w:w="25" w:type="dxa"/>
          <w:cantSplit/>
        </w:trPr>
        <w:tc>
          <w:tcPr>
            <w:tcW w:w="4081" w:type="dxa"/>
            <w:vAlign w:val="bottom"/>
          </w:tcPr>
          <w:p w14:paraId="73ADE572" w14:textId="77777777" w:rsidR="00A4199D" w:rsidRDefault="000B6150">
            <w:pPr>
              <w:spacing w:beforeAutospacing="1" w:afterAutospacing="1"/>
            </w:pPr>
            <w:r>
              <w:rPr>
                <w:b/>
                <w:color w:val="000000"/>
              </w:rPr>
              <w:t>Total</w:t>
            </w:r>
          </w:p>
        </w:tc>
        <w:tc>
          <w:tcPr>
            <w:tcW w:w="1859" w:type="dxa"/>
            <w:vAlign w:val="bottom"/>
          </w:tcPr>
          <w:p w14:paraId="71482CB0" w14:textId="77777777" w:rsidR="00A4199D" w:rsidRDefault="000B6150">
            <w:pPr>
              <w:spacing w:beforeAutospacing="1" w:afterAutospacing="1"/>
              <w:jc w:val="right"/>
            </w:pPr>
            <w:r>
              <w:rPr>
                <w:b/>
                <w:color w:val="000000"/>
              </w:rPr>
              <w:t>0</w:t>
            </w:r>
          </w:p>
        </w:tc>
        <w:tc>
          <w:tcPr>
            <w:tcW w:w="1890" w:type="dxa"/>
            <w:vAlign w:val="bottom"/>
          </w:tcPr>
          <w:p w14:paraId="78E759E4" w14:textId="77777777" w:rsidR="00A4199D" w:rsidRDefault="000B6150">
            <w:pPr>
              <w:spacing w:beforeAutospacing="1" w:afterAutospacing="1"/>
              <w:jc w:val="right"/>
            </w:pPr>
            <w:r>
              <w:rPr>
                <w:b/>
                <w:color w:val="000000"/>
              </w:rPr>
              <w:t>32</w:t>
            </w:r>
          </w:p>
        </w:tc>
      </w:tr>
    </w:tbl>
    <w:p w14:paraId="1920F05E"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14:paraId="1FB20BFC" w14:textId="77777777" w:rsidR="00A4199D" w:rsidRDefault="00A4199D">
      <w:pPr>
        <w:widowControl w:val="0"/>
        <w:spacing w:line="204" w:lineRule="auto"/>
        <w:rPr>
          <w:b/>
          <w:sz w:val="24"/>
          <w:szCs w:val="24"/>
        </w:rPr>
      </w:pPr>
    </w:p>
    <w:p w14:paraId="0C82811E" w14:textId="77777777" w:rsidR="00A4199D" w:rsidRDefault="00A4199D">
      <w:pPr>
        <w:widowControl w:val="0"/>
        <w:spacing w:line="204" w:lineRule="auto"/>
        <w:rPr>
          <w:b/>
          <w:sz w:val="24"/>
          <w:szCs w:val="24"/>
        </w:rPr>
      </w:pPr>
    </w:p>
    <w:p w14:paraId="05A002B7" w14:textId="77777777" w:rsidR="00A4199D" w:rsidRDefault="000B6150">
      <w:pPr>
        <w:widowControl w:val="0"/>
        <w:spacing w:line="204" w:lineRule="auto"/>
        <w:rPr>
          <w:b/>
          <w:sz w:val="24"/>
          <w:szCs w:val="24"/>
        </w:rPr>
      </w:pPr>
      <w:r>
        <w:rPr>
          <w:b/>
          <w:sz w:val="24"/>
          <w:szCs w:val="24"/>
        </w:rPr>
        <w:t>Narrative Information</w:t>
      </w:r>
    </w:p>
    <w:p w14:paraId="6694DD67" w14:textId="77777777" w:rsidR="00A4199D" w:rsidRDefault="000B6150">
      <w:pPr>
        <w:spacing w:beforeAutospacing="1" w:afterAutospacing="1"/>
        <w:rPr>
          <w:rFonts w:cs="Arial"/>
        </w:rPr>
      </w:pPr>
      <w:r>
        <w:rPr>
          <w:rFonts w:cs="Arial"/>
        </w:rPr>
        <w:lastRenderedPageBreak/>
        <w:t>All households served within the TBRA program were under 50% AMI. The majority (97%) were under 30% of AMI and an additional 3% were between 30% and 50% AMI.</w:t>
      </w:r>
    </w:p>
    <w:p w14:paraId="77FE97B9" w14:textId="77777777" w:rsidR="00A4199D" w:rsidRDefault="00A4199D">
      <w:pPr>
        <w:rPr>
          <w:rFonts w:cs="Arial"/>
        </w:rPr>
      </w:pPr>
    </w:p>
    <w:p w14:paraId="7D0F9634" w14:textId="77777777" w:rsidR="00A4199D" w:rsidRDefault="00A4199D">
      <w:pPr>
        <w:pStyle w:val="Heading2"/>
        <w:pageBreakBefore/>
        <w:rPr>
          <w:rFonts w:ascii="Calibri" w:hAnsi="Calibri"/>
          <w:i w:val="0"/>
        </w:rPr>
        <w:sectPr w:rsidR="00A4199D">
          <w:pgSz w:w="12240" w:h="15840" w:code="1"/>
          <w:pgMar w:top="1440" w:right="1440" w:bottom="1440" w:left="1440" w:header="720" w:footer="720" w:gutter="0"/>
          <w:cols w:space="720"/>
          <w:docGrid w:linePitch="360"/>
        </w:sectPr>
      </w:pPr>
    </w:p>
    <w:bookmarkEnd w:id="1"/>
    <w:p w14:paraId="5A024EC9" w14:textId="77777777" w:rsidR="00A4199D" w:rsidRDefault="000B6150">
      <w:pPr>
        <w:pStyle w:val="Heading2"/>
        <w:pageBreakBefore/>
        <w:widowControl w:val="0"/>
        <w:rPr>
          <w:rFonts w:ascii="Calibri" w:hAnsi="Calibri"/>
          <w:i w:val="0"/>
        </w:rPr>
      </w:pPr>
      <w:r>
        <w:rPr>
          <w:rFonts w:ascii="Calibri" w:hAnsi="Calibri"/>
          <w:i w:val="0"/>
        </w:rPr>
        <w:lastRenderedPageBreak/>
        <w:t>CR-25 - Homeless and Other Special Needs 91.220(d, e); 91.320(d, e); 91.520(c)</w:t>
      </w:r>
    </w:p>
    <w:p w14:paraId="259565A4" w14:textId="77777777" w:rsidR="00A4199D" w:rsidRDefault="000B6150">
      <w:pPr>
        <w:keepNext/>
        <w:widowControl w:val="0"/>
        <w:rPr>
          <w:b/>
          <w:sz w:val="24"/>
          <w:szCs w:val="24"/>
        </w:rPr>
      </w:pPr>
      <w:r>
        <w:rPr>
          <w:b/>
          <w:sz w:val="24"/>
          <w:szCs w:val="24"/>
        </w:rPr>
        <w:t>Evaluate the jurisdiction’s progress in meeting its specific objectives for reducing and ending homelessness through:</w:t>
      </w:r>
    </w:p>
    <w:p w14:paraId="6F68F847" w14:textId="77777777" w:rsidR="00A4199D" w:rsidRDefault="000B6150">
      <w:pPr>
        <w:widowControl w:val="0"/>
        <w:rPr>
          <w:b/>
          <w:sz w:val="24"/>
          <w:szCs w:val="24"/>
        </w:rPr>
      </w:pPr>
      <w:r>
        <w:rPr>
          <w:b/>
          <w:sz w:val="24"/>
          <w:szCs w:val="24"/>
        </w:rPr>
        <w:t xml:space="preserve">Reaching out to homeless </w:t>
      </w:r>
      <w:proofErr w:type="gramStart"/>
      <w:r>
        <w:rPr>
          <w:b/>
          <w:sz w:val="24"/>
          <w:szCs w:val="24"/>
        </w:rPr>
        <w:t>persons</w:t>
      </w:r>
      <w:proofErr w:type="gramEnd"/>
      <w:r>
        <w:rPr>
          <w:b/>
          <w:sz w:val="24"/>
          <w:szCs w:val="24"/>
        </w:rPr>
        <w:t xml:space="preserve"> (especially unsheltered persons) and assessing their individual needs</w:t>
      </w:r>
    </w:p>
    <w:p w14:paraId="2909A25F" w14:textId="77777777" w:rsidR="00A4199D" w:rsidRDefault="000B6150">
      <w:pPr>
        <w:widowControl w:val="0"/>
        <w:spacing w:beforeAutospacing="1" w:afterAutospacing="1"/>
        <w:rPr>
          <w:rFonts w:cs="Arial"/>
        </w:rPr>
      </w:pPr>
      <w:r>
        <w:rPr>
          <w:rFonts w:cs="Arial"/>
        </w:rPr>
        <w:t xml:space="preserve">Each county operates a Coordinated Entry system to assess homeless households for vulnerability. Households are referred to programs based on specific needs and available openings with the goal of connecting homeless households to permanent housing as quickly as possible. Each </w:t>
      </w:r>
      <w:proofErr w:type="gramStart"/>
      <w:r>
        <w:rPr>
          <w:rFonts w:cs="Arial"/>
        </w:rPr>
        <w:t>county</w:t>
      </w:r>
      <w:proofErr w:type="gramEnd"/>
      <w:r>
        <w:rPr>
          <w:rFonts w:cs="Arial"/>
        </w:rPr>
        <w:t xml:space="preserve"> prioritizes unsheltered households for entry into their Coordinated Entry system. Each county is required to meet a performance target for the percentage of households served who are unsheltered.</w:t>
      </w:r>
    </w:p>
    <w:p w14:paraId="71A6E39C" w14:textId="77777777" w:rsidR="00A4199D" w:rsidRDefault="000B6150">
      <w:pPr>
        <w:widowControl w:val="0"/>
        <w:spacing w:beforeAutospacing="1" w:afterAutospacing="1"/>
        <w:rPr>
          <w:rFonts w:cs="Arial"/>
        </w:rPr>
      </w:pPr>
      <w:r>
        <w:rPr>
          <w:rFonts w:cs="Arial"/>
        </w:rPr>
        <w:t>All counties in the Consortium continue to work with agencies and interested parties to increase the percentage of entries into their systems who are unsheltered. Each county reports data on system prioritization targets to the Washington State Department of Commerce, which means that households with a recent history of unsheltered homelessness or fleeing violence are prioritized.</w:t>
      </w:r>
    </w:p>
    <w:p w14:paraId="2A76D45B" w14:textId="77777777" w:rsidR="00A4199D" w:rsidRDefault="000B6150">
      <w:pPr>
        <w:widowControl w:val="0"/>
        <w:spacing w:beforeAutospacing="1" w:afterAutospacing="1"/>
        <w:rPr>
          <w:rFonts w:cs="Arial"/>
        </w:rPr>
      </w:pPr>
      <w:r>
        <w:rPr>
          <w:rFonts w:cs="Arial"/>
        </w:rPr>
        <w:t>The number of unsheltered households across the Consortium region is reflective of the increasingly tight rental market and the increase in the number of barriers that unsheltered households deal with. All three regions are expanding street outreach services and continue to improve collaboration around care coordination for the unhoused community.</w:t>
      </w:r>
    </w:p>
    <w:p w14:paraId="2BBD6420" w14:textId="77777777" w:rsidR="00A4199D" w:rsidRDefault="000B6150">
      <w:pPr>
        <w:widowControl w:val="0"/>
        <w:rPr>
          <w:b/>
          <w:sz w:val="24"/>
          <w:szCs w:val="24"/>
        </w:rPr>
      </w:pPr>
      <w:r>
        <w:rPr>
          <w:b/>
          <w:sz w:val="24"/>
          <w:szCs w:val="24"/>
        </w:rPr>
        <w:t xml:space="preserve">Addressing the emergency shelter and transitional housing needs of homeless </w:t>
      </w:r>
      <w:proofErr w:type="gramStart"/>
      <w:r>
        <w:rPr>
          <w:b/>
          <w:sz w:val="24"/>
          <w:szCs w:val="24"/>
        </w:rPr>
        <w:t>persons</w:t>
      </w:r>
      <w:proofErr w:type="gramEnd"/>
    </w:p>
    <w:p w14:paraId="1BB6FAE4" w14:textId="77777777" w:rsidR="00A4199D" w:rsidRDefault="000B6150">
      <w:pPr>
        <w:widowControl w:val="0"/>
        <w:spacing w:beforeAutospacing="1" w:afterAutospacing="1"/>
        <w:rPr>
          <w:rFonts w:cs="Arial"/>
        </w:rPr>
      </w:pPr>
      <w:r>
        <w:rPr>
          <w:rFonts w:cs="Arial"/>
        </w:rPr>
        <w:t xml:space="preserve">The Consortium does not receive HOME funding for activities concerning emergency shelter and/or transitional housing. However, Whatcom, Island, and Skagit counties all make local funds available to organizations providing these services. During PY2023, Consortium members used a combination of motel and additional winter shelters to support the unhoused community for temporary shelter beds during the cold weather season. Eviction prevention programs </w:t>
      </w:r>
      <w:proofErr w:type="gramStart"/>
      <w:r>
        <w:rPr>
          <w:rFonts w:cs="Arial"/>
        </w:rPr>
        <w:t>experienced</w:t>
      </w:r>
      <w:proofErr w:type="gramEnd"/>
      <w:r>
        <w:rPr>
          <w:rFonts w:cs="Arial"/>
        </w:rPr>
        <w:t xml:space="preserve"> a large decrease in funding across all three regions which only exacerbates the housing crisis. Whatcom County </w:t>
      </w:r>
      <w:proofErr w:type="gramStart"/>
      <w:r>
        <w:rPr>
          <w:rFonts w:cs="Arial"/>
        </w:rPr>
        <w:t>in particular does</w:t>
      </w:r>
      <w:proofErr w:type="gramEnd"/>
      <w:r>
        <w:rPr>
          <w:rFonts w:cs="Arial"/>
        </w:rPr>
        <w:t xml:space="preserve"> not have a family shelter and relied </w:t>
      </w:r>
      <w:proofErr w:type="spellStart"/>
      <w:r>
        <w:rPr>
          <w:rFonts w:cs="Arial"/>
        </w:rPr>
        <w:t>soley</w:t>
      </w:r>
      <w:proofErr w:type="spellEnd"/>
      <w:r>
        <w:rPr>
          <w:rFonts w:cs="Arial"/>
        </w:rPr>
        <w:t xml:space="preserve"> on motels to support homeless families.  Skagit County does not have a drop in shelter and all other shelter programs have waitlists.  Whatcom County is working towards increasing shelter beds for families and is currently working on developing a new program in partnership with YMCA.  All Counties lack in transitional and sup</w:t>
      </w:r>
      <w:r>
        <w:rPr>
          <w:rFonts w:cs="Arial"/>
        </w:rPr>
        <w:t>portive housing options to meet the complex needs of an increasing number of homeless people with layers of barriers and vulnerabilities.</w:t>
      </w:r>
    </w:p>
    <w:p w14:paraId="55C3B972" w14:textId="77777777" w:rsidR="00A4199D" w:rsidRDefault="000B6150">
      <w:pPr>
        <w:widowControl w:val="0"/>
        <w:rPr>
          <w:b/>
          <w:sz w:val="24"/>
          <w:szCs w:val="24"/>
        </w:rPr>
      </w:pPr>
      <w:r>
        <w:rPr>
          <w:b/>
          <w:sz w:val="24"/>
          <w:szCs w:val="24"/>
        </w:rPr>
        <w:t xml:space="preserve">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w:t>
      </w:r>
      <w:r>
        <w:rPr>
          <w:b/>
          <w:sz w:val="24"/>
          <w:szCs w:val="24"/>
        </w:rPr>
        <w:lastRenderedPageBreak/>
        <w:t>programs and institutions);  and,  receiving assistance from public or private agencies that address housing, health, social services, employment, education, or youth needs</w:t>
      </w:r>
    </w:p>
    <w:p w14:paraId="50AE223B" w14:textId="77777777" w:rsidR="00A4199D" w:rsidRDefault="000B6150">
      <w:pPr>
        <w:widowControl w:val="0"/>
        <w:spacing w:beforeAutospacing="1" w:afterAutospacing="1"/>
        <w:rPr>
          <w:rFonts w:cs="Arial"/>
        </w:rPr>
      </w:pPr>
      <w:r>
        <w:rPr>
          <w:rFonts w:cs="Arial"/>
        </w:rPr>
        <w:t>The Consortium's TBRA program is available to people discharging from institutions and receiving assistance from public or private agencies for a variety of socio-economic needs. When possible, we coordinate with other partners, such as the criminal justice, education, and behavioral health systems to increase referrals to TBRA. We optimize funding by providing additional local support for case management and voluntary behavioral health services, particularly for clients exiting institutions or involved wit</w:t>
      </w:r>
      <w:r>
        <w:rPr>
          <w:rFonts w:cs="Arial"/>
        </w:rPr>
        <w:t xml:space="preserve">h the behavioral health system. Skagit County members also participate with the local Anchor Community Initiatives to work towards ending youth homelessness in Skagit County which targets youth and young adult homeless populations and is working to achieve functional zero by working through a system of </w:t>
      </w:r>
      <w:proofErr w:type="gramStart"/>
      <w:r>
        <w:rPr>
          <w:rFonts w:cs="Arial"/>
        </w:rPr>
        <w:t>step by step</w:t>
      </w:r>
      <w:proofErr w:type="gramEnd"/>
      <w:r>
        <w:rPr>
          <w:rFonts w:cs="Arial"/>
        </w:rPr>
        <w:t xml:space="preserve"> actions, creating a by name list, and case conferencing across providers.  We have other prevention and diversion resources available for at risk youth and families. Whatcom County is working tow</w:t>
      </w:r>
      <w:r>
        <w:rPr>
          <w:rFonts w:cs="Arial"/>
        </w:rPr>
        <w:t xml:space="preserve">ards increasing shelter beds for families. </w:t>
      </w:r>
      <w:proofErr w:type="gramStart"/>
      <w:r>
        <w:rPr>
          <w:rFonts w:cs="Arial"/>
        </w:rPr>
        <w:t>All of</w:t>
      </w:r>
      <w:proofErr w:type="gramEnd"/>
      <w:r>
        <w:rPr>
          <w:rFonts w:cs="Arial"/>
        </w:rPr>
        <w:t xml:space="preserve"> these systems working towards preventing homelessness are facing great challenges with affordability and lack of housing units that people can afford.</w:t>
      </w:r>
    </w:p>
    <w:p w14:paraId="436406C7" w14:textId="77777777" w:rsidR="00A4199D" w:rsidRDefault="000B6150">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6F64D5DC" w14:textId="77777777" w:rsidR="00A4199D" w:rsidRDefault="000B6150">
      <w:pPr>
        <w:widowControl w:val="0"/>
        <w:spacing w:beforeAutospacing="1" w:afterAutospacing="1"/>
        <w:rPr>
          <w:rFonts w:cs="Arial"/>
        </w:rPr>
      </w:pPr>
      <w:r>
        <w:rPr>
          <w:rFonts w:cs="Arial"/>
        </w:rPr>
        <w:t xml:space="preserve">During </w:t>
      </w:r>
      <w:proofErr w:type="gramStart"/>
      <w:r>
        <w:rPr>
          <w:rFonts w:cs="Arial"/>
        </w:rPr>
        <w:t>the PY2023</w:t>
      </w:r>
      <w:proofErr w:type="gramEnd"/>
      <w:r>
        <w:rPr>
          <w:rFonts w:cs="Arial"/>
        </w:rPr>
        <w:t xml:space="preserve">, the Consortium continued to maximize the amount of funding allocated toward the development of a permanent supportive housing project, </w:t>
      </w:r>
      <w:proofErr w:type="gramStart"/>
      <w:r>
        <w:rPr>
          <w:rFonts w:cs="Arial"/>
        </w:rPr>
        <w:t>low income</w:t>
      </w:r>
      <w:proofErr w:type="gramEnd"/>
      <w:r>
        <w:rPr>
          <w:rFonts w:cs="Arial"/>
        </w:rPr>
        <w:t xml:space="preserve"> home ownership project, and tenant-based rental assistance, which acts as bridge housing assistance while the household works toward longer term housing goals. The Consortium worked strategically with partner agencies to develop </w:t>
      </w:r>
      <w:proofErr w:type="gramStart"/>
      <w:r>
        <w:rPr>
          <w:rFonts w:cs="Arial"/>
        </w:rPr>
        <w:t>the critical</w:t>
      </w:r>
      <w:proofErr w:type="gramEnd"/>
      <w:r>
        <w:rPr>
          <w:rFonts w:cs="Arial"/>
        </w:rPr>
        <w:t xml:space="preserve"> supportive services for the </w:t>
      </w:r>
      <w:proofErr w:type="spellStart"/>
      <w:r>
        <w:rPr>
          <w:rFonts w:cs="Arial"/>
        </w:rPr>
        <w:t>indviduals</w:t>
      </w:r>
      <w:proofErr w:type="spellEnd"/>
      <w:r>
        <w:rPr>
          <w:rFonts w:cs="Arial"/>
        </w:rPr>
        <w:t xml:space="preserve"> exiting homelessness into the permanent housing program.</w:t>
      </w:r>
    </w:p>
    <w:p w14:paraId="0A6D4366" w14:textId="77777777" w:rsidR="00A4199D" w:rsidRDefault="000B6150">
      <w:pPr>
        <w:widowControl w:val="0"/>
        <w:spacing w:beforeAutospacing="1" w:afterAutospacing="1"/>
        <w:rPr>
          <w:rFonts w:cs="Arial"/>
        </w:rPr>
      </w:pPr>
      <w:r>
        <w:rPr>
          <w:rFonts w:cs="Arial"/>
        </w:rPr>
        <w:t>Agencies administering TBRA funding also make homeless households aware of additional services designed to help them achieve long-term housing stability through active case management. As staff at the agencies have become more familiar with HOME TBRA funding, they have implemented progressive engagement to support the self-sufficiency of program participants.</w:t>
      </w:r>
    </w:p>
    <w:p w14:paraId="1CBF57E1" w14:textId="77777777" w:rsidR="00A4199D" w:rsidRDefault="00A4199D">
      <w:pPr>
        <w:widowControl w:val="0"/>
        <w:rPr>
          <w:rFonts w:cs="Arial"/>
          <w:szCs w:val="26"/>
        </w:rPr>
      </w:pPr>
    </w:p>
    <w:p w14:paraId="739B1293" w14:textId="77777777" w:rsidR="00A4199D" w:rsidRDefault="000B6150">
      <w:pPr>
        <w:pStyle w:val="Heading2"/>
        <w:pageBreakBefore/>
        <w:widowControl w:val="0"/>
        <w:rPr>
          <w:rFonts w:ascii="Calibri" w:hAnsi="Calibri"/>
          <w:i w:val="0"/>
        </w:rPr>
      </w:pPr>
      <w:r>
        <w:rPr>
          <w:rFonts w:ascii="Calibri" w:hAnsi="Calibri"/>
          <w:i w:val="0"/>
        </w:rPr>
        <w:lastRenderedPageBreak/>
        <w:t>CR-30 - Public Housing 91.220(h); 91.320(j)</w:t>
      </w:r>
    </w:p>
    <w:p w14:paraId="1F248851" w14:textId="77777777" w:rsidR="00A4199D" w:rsidRDefault="000B6150">
      <w:pPr>
        <w:keepNext/>
        <w:widowControl w:val="0"/>
        <w:rPr>
          <w:b/>
          <w:sz w:val="24"/>
          <w:szCs w:val="24"/>
        </w:rPr>
      </w:pPr>
      <w:r>
        <w:rPr>
          <w:b/>
          <w:sz w:val="24"/>
          <w:szCs w:val="24"/>
        </w:rPr>
        <w:t>Actions taken to address the needs of public housing</w:t>
      </w:r>
    </w:p>
    <w:p w14:paraId="578E4917" w14:textId="77777777" w:rsidR="00A4199D" w:rsidRDefault="000B6150">
      <w:pPr>
        <w:keepNext/>
        <w:widowControl w:val="0"/>
        <w:spacing w:beforeAutospacing="1" w:afterAutospacing="1"/>
        <w:rPr>
          <w:rFonts w:cs="Arial"/>
        </w:rPr>
      </w:pPr>
      <w:r>
        <w:rPr>
          <w:rFonts w:cs="Arial"/>
        </w:rPr>
        <w:t>The Consortium primarily addresses the needs of individuals who are not receiving public housing.</w:t>
      </w:r>
    </w:p>
    <w:p w14:paraId="0896E401" w14:textId="77777777" w:rsidR="00A4199D" w:rsidRDefault="000B6150">
      <w:pPr>
        <w:keepNext/>
        <w:widowControl w:val="0"/>
        <w:spacing w:beforeAutospacing="1" w:afterAutospacing="1"/>
        <w:rPr>
          <w:rFonts w:cs="Arial"/>
        </w:rPr>
      </w:pPr>
      <w:r>
        <w:rPr>
          <w:rFonts w:cs="Arial"/>
        </w:rPr>
        <w:t>The Anacortes Housing Authority owns and operates more than 100 public housing units. The Sedro-Woolley Housing Authority owns 80 units of public housing, operated by the King County Housing Authority. The Housing Authority of Island County owns and operates more than 100 units of public housing for seniors and people with disabilities. The Housing Authority of Skagit County owns and/or manages several affordable apartment complexes, including farmworker and Veteran housing.</w:t>
      </w:r>
    </w:p>
    <w:p w14:paraId="1FB5BC61" w14:textId="77777777" w:rsidR="00A4199D" w:rsidRDefault="000B6150">
      <w:pPr>
        <w:keepNext/>
        <w:widowControl w:val="0"/>
        <w:spacing w:beforeAutospacing="1" w:afterAutospacing="1"/>
        <w:rPr>
          <w:rFonts w:cs="Arial"/>
        </w:rPr>
      </w:pPr>
      <w:r>
        <w:rPr>
          <w:rFonts w:cs="Arial"/>
        </w:rPr>
        <w:t>The various housing authorities within the Consortium continue their efforts to rehab public housing, with the support of their associated jurisdictions. The Consortium is not formally involved with any current public housing rehab activities.</w:t>
      </w:r>
    </w:p>
    <w:p w14:paraId="1A0889B1" w14:textId="77777777" w:rsidR="00A4199D" w:rsidRDefault="000B6150">
      <w:pPr>
        <w:keepNext/>
        <w:widowControl w:val="0"/>
        <w:spacing w:beforeAutospacing="1" w:afterAutospacing="1"/>
        <w:rPr>
          <w:rFonts w:cs="Arial"/>
        </w:rPr>
      </w:pPr>
      <w:r>
        <w:rPr>
          <w:rFonts w:cs="Arial"/>
        </w:rPr>
        <w:t>The various housing authorities within the Consortium continue their efforts to rehab public housing, with the support of their associated jurisdictions. The Consortium is not formally involved with any current public housing rehab activities.</w:t>
      </w:r>
    </w:p>
    <w:p w14:paraId="54970478" w14:textId="77777777" w:rsidR="00A4199D" w:rsidRDefault="000B6150">
      <w:pPr>
        <w:widowControl w:val="0"/>
        <w:rPr>
          <w:b/>
          <w:sz w:val="24"/>
          <w:szCs w:val="24"/>
        </w:rPr>
      </w:pPr>
      <w:r>
        <w:rPr>
          <w:b/>
          <w:sz w:val="24"/>
          <w:szCs w:val="24"/>
        </w:rPr>
        <w:t>Actions taken to encourage public housing residents to become more involved in management and participate in homeownership</w:t>
      </w:r>
    </w:p>
    <w:p w14:paraId="40936023" w14:textId="77777777" w:rsidR="00A4199D" w:rsidRDefault="000B6150">
      <w:pPr>
        <w:widowControl w:val="0"/>
        <w:spacing w:beforeAutospacing="1" w:afterAutospacing="1"/>
        <w:rPr>
          <w:rFonts w:cs="Arial"/>
        </w:rPr>
      </w:pPr>
      <w:r>
        <w:rPr>
          <w:rFonts w:cs="Arial"/>
        </w:rPr>
        <w:t>None</w:t>
      </w:r>
    </w:p>
    <w:p w14:paraId="70DBF1CF" w14:textId="77777777" w:rsidR="00A4199D" w:rsidRDefault="000B6150">
      <w:pPr>
        <w:widowControl w:val="0"/>
        <w:rPr>
          <w:b/>
          <w:sz w:val="24"/>
          <w:szCs w:val="24"/>
        </w:rPr>
      </w:pPr>
      <w:r>
        <w:rPr>
          <w:b/>
          <w:sz w:val="24"/>
          <w:szCs w:val="24"/>
        </w:rPr>
        <w:t xml:space="preserve">Actions taken to </w:t>
      </w:r>
      <w:proofErr w:type="gramStart"/>
      <w:r>
        <w:rPr>
          <w:b/>
          <w:sz w:val="24"/>
          <w:szCs w:val="24"/>
        </w:rPr>
        <w:t>provide assistance to</w:t>
      </w:r>
      <w:proofErr w:type="gramEnd"/>
      <w:r>
        <w:rPr>
          <w:b/>
          <w:sz w:val="24"/>
          <w:szCs w:val="24"/>
        </w:rPr>
        <w:t xml:space="preserve"> troubled PHAs</w:t>
      </w:r>
    </w:p>
    <w:p w14:paraId="40D87CE6" w14:textId="77777777" w:rsidR="00A4199D" w:rsidRDefault="000B6150">
      <w:pPr>
        <w:widowControl w:val="0"/>
        <w:spacing w:beforeAutospacing="1" w:afterAutospacing="1"/>
        <w:rPr>
          <w:rFonts w:cs="Arial"/>
        </w:rPr>
      </w:pPr>
      <w:r>
        <w:rPr>
          <w:rFonts w:cs="Arial"/>
        </w:rPr>
        <w:t>Not Applicable</w:t>
      </w:r>
    </w:p>
    <w:p w14:paraId="4C3C5035" w14:textId="77777777" w:rsidR="00A4199D" w:rsidRDefault="000B6150">
      <w:pPr>
        <w:pStyle w:val="Heading2"/>
        <w:pageBreakBefore/>
        <w:widowControl w:val="0"/>
        <w:rPr>
          <w:rFonts w:ascii="Calibri" w:hAnsi="Calibri"/>
          <w:i w:val="0"/>
        </w:rPr>
      </w:pPr>
      <w:r>
        <w:rPr>
          <w:rFonts w:ascii="Calibri" w:hAnsi="Calibri"/>
          <w:i w:val="0"/>
        </w:rPr>
        <w:lastRenderedPageBreak/>
        <w:t xml:space="preserve">CR-35 - Other Actions 91.220(j)-(k); </w:t>
      </w:r>
      <w:r>
        <w:rPr>
          <w:rFonts w:ascii="Calibri" w:hAnsi="Calibri"/>
          <w:i w:val="0"/>
        </w:rPr>
        <w:t>91.320(</w:t>
      </w:r>
      <w:proofErr w:type="spellStart"/>
      <w:r>
        <w:rPr>
          <w:rFonts w:ascii="Calibri" w:hAnsi="Calibri"/>
          <w:i w:val="0"/>
        </w:rPr>
        <w:t>i</w:t>
      </w:r>
      <w:proofErr w:type="spellEnd"/>
      <w:r>
        <w:rPr>
          <w:rFonts w:ascii="Calibri" w:hAnsi="Calibri"/>
          <w:i w:val="0"/>
        </w:rPr>
        <w:t>)-(j)</w:t>
      </w:r>
    </w:p>
    <w:p w14:paraId="40DDD420" w14:textId="77777777" w:rsidR="00A4199D" w:rsidRDefault="000B6150">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w:t>
      </w:r>
      <w:proofErr w:type="spellStart"/>
      <w:r>
        <w:rPr>
          <w:b/>
          <w:sz w:val="24"/>
          <w:szCs w:val="24"/>
        </w:rPr>
        <w:t>i</w:t>
      </w:r>
      <w:proofErr w:type="spellEnd"/>
      <w:r>
        <w:rPr>
          <w:b/>
          <w:sz w:val="24"/>
          <w:szCs w:val="24"/>
        </w:rPr>
        <w:t>)</w:t>
      </w:r>
    </w:p>
    <w:p w14:paraId="191FA56C" w14:textId="77777777" w:rsidR="00A4199D" w:rsidRDefault="000B6150">
      <w:pPr>
        <w:widowControl w:val="0"/>
        <w:spacing w:beforeAutospacing="1" w:afterAutospacing="1"/>
        <w:rPr>
          <w:rFonts w:cs="Arial"/>
        </w:rPr>
      </w:pPr>
      <w:r>
        <w:rPr>
          <w:rFonts w:cs="Arial"/>
        </w:rPr>
        <w:t xml:space="preserve">Although Skagit County (HOME Participating Jurisdiction) has limited authority to influence land use policy issues in the various municipalities that comprise the Consortium, staff do engage </w:t>
      </w:r>
      <w:proofErr w:type="gramStart"/>
      <w:r>
        <w:rPr>
          <w:rFonts w:cs="Arial"/>
        </w:rPr>
        <w:t>on</w:t>
      </w:r>
      <w:proofErr w:type="gramEnd"/>
      <w:r>
        <w:rPr>
          <w:rFonts w:cs="Arial"/>
        </w:rPr>
        <w:t xml:space="preserve"> planning topics through our regional Skagit Council of Government (SCOG) organization. Public health and planning staff attend planning meetings of committees focused on growth management. Each municipality planning under the Washington State Growth Management Act engages in regular updates to their Comprehensive Plans. These plans set the jurisdictions' direction for meeting employment and housing needs of their growing populations. Many jurisdictions within the Consortium have engaged professional affo</w:t>
      </w:r>
      <w:r>
        <w:rPr>
          <w:rFonts w:cs="Arial"/>
        </w:rPr>
        <w:t>rdable housing consultants to study barriers to affordable housing and create affordable housing action plans.</w:t>
      </w:r>
    </w:p>
    <w:p w14:paraId="6E19D2E2" w14:textId="77777777" w:rsidR="00A4199D" w:rsidRDefault="000B6150">
      <w:pPr>
        <w:widowControl w:val="0"/>
        <w:spacing w:beforeAutospacing="1" w:afterAutospacing="1"/>
        <w:rPr>
          <w:rFonts w:cs="Arial"/>
        </w:rPr>
      </w:pPr>
      <w:r>
        <w:rPr>
          <w:rFonts w:cs="Arial"/>
        </w:rPr>
        <w:t xml:space="preserve">Skagit County, Island County, and Whatcom County often provide technical assistance, research support, and data to municipalities within the Consortium region undertaking comprehensive planning. Furthermore, county staff </w:t>
      </w:r>
      <w:proofErr w:type="gramStart"/>
      <w:r>
        <w:rPr>
          <w:rFonts w:cs="Arial"/>
        </w:rPr>
        <w:t>participates</w:t>
      </w:r>
      <w:proofErr w:type="gramEnd"/>
      <w:r>
        <w:rPr>
          <w:rFonts w:cs="Arial"/>
        </w:rPr>
        <w:t xml:space="preserve"> in cities' affordable housing stakeholder engagement and planning processes.</w:t>
      </w:r>
    </w:p>
    <w:p w14:paraId="6FBC2036" w14:textId="77777777" w:rsidR="00A4199D" w:rsidRDefault="000B6150">
      <w:pPr>
        <w:widowControl w:val="0"/>
        <w:rPr>
          <w:b/>
          <w:sz w:val="24"/>
          <w:szCs w:val="24"/>
        </w:rPr>
      </w:pPr>
      <w:r>
        <w:rPr>
          <w:b/>
          <w:sz w:val="24"/>
          <w:szCs w:val="24"/>
        </w:rPr>
        <w:t>Actions taken to address obstacles to meeting underserved needs.  91.220(k); 91.320(j)</w:t>
      </w:r>
    </w:p>
    <w:p w14:paraId="1F2C980D" w14:textId="77777777" w:rsidR="00A4199D" w:rsidRDefault="000B6150">
      <w:pPr>
        <w:widowControl w:val="0"/>
        <w:spacing w:beforeAutospacing="1" w:afterAutospacing="1"/>
        <w:rPr>
          <w:rFonts w:cs="Arial"/>
        </w:rPr>
      </w:pPr>
      <w:r>
        <w:rPr>
          <w:rFonts w:cs="Arial"/>
        </w:rPr>
        <w:t xml:space="preserve">The Consortium directed the majority of its 2023 Program Year expended funding towards development because a major underserved need is affordable housing. In addition to housing development, the Consortium also prioritizes the </w:t>
      </w:r>
      <w:proofErr w:type="gramStart"/>
      <w:r>
        <w:rPr>
          <w:rFonts w:cs="Arial"/>
        </w:rPr>
        <w:t>tenant based</w:t>
      </w:r>
      <w:proofErr w:type="gramEnd"/>
      <w:r>
        <w:rPr>
          <w:rFonts w:cs="Arial"/>
        </w:rPr>
        <w:t xml:space="preserve"> rental assistance program. When possible, we have paired tenant-based rental assistance with local behavioral health case management funding to assist with the unmet needs resulting from the opioid crisis. The Consortium has encouraged agencies to explore opportunities within the Coordinated Entry program to assist eligible households that are vulnerable and have already identified housing units. The Consortium will monitor demographic data associated with tenant-based rental assistance to ensu</w:t>
      </w:r>
      <w:r>
        <w:rPr>
          <w:rFonts w:cs="Arial"/>
        </w:rPr>
        <w:t>re all vulnerable populations are receiving equitable support.</w:t>
      </w:r>
    </w:p>
    <w:p w14:paraId="0CD1FBE0" w14:textId="77777777" w:rsidR="00A4199D" w:rsidRDefault="000B6150">
      <w:pPr>
        <w:widowControl w:val="0"/>
        <w:rPr>
          <w:b/>
          <w:sz w:val="24"/>
          <w:szCs w:val="24"/>
        </w:rPr>
      </w:pPr>
      <w:r>
        <w:rPr>
          <w:b/>
          <w:sz w:val="24"/>
          <w:szCs w:val="24"/>
        </w:rPr>
        <w:t>Actions taken to reduce lead-based paint hazards. 91.220(k); 91.320(j)</w:t>
      </w:r>
    </w:p>
    <w:p w14:paraId="6EB868FC" w14:textId="77777777" w:rsidR="00A4199D" w:rsidRDefault="000B6150">
      <w:pPr>
        <w:widowControl w:val="0"/>
        <w:spacing w:beforeAutospacing="1" w:afterAutospacing="1"/>
        <w:rPr>
          <w:rFonts w:cs="Arial"/>
        </w:rPr>
      </w:pPr>
      <w:r>
        <w:rPr>
          <w:rFonts w:cs="Arial"/>
        </w:rPr>
        <w:t xml:space="preserve">Skagit County implemented lead-based paint policies for the Tenant Based Rental Assistance program. During PY2023, Skagit County staff completed onsite visits with all three TBRA providers and completed file audits with the TBRA contractors to confirm that lead-based paint protocols were still being followed in the programs. The County confirmed that providers are conducting Housing Quality Standards Inspections, completing appropriate </w:t>
      </w:r>
      <w:proofErr w:type="spellStart"/>
      <w:proofErr w:type="gramStart"/>
      <w:r>
        <w:rPr>
          <w:rFonts w:cs="Arial"/>
        </w:rPr>
        <w:t>followup</w:t>
      </w:r>
      <w:proofErr w:type="spellEnd"/>
      <w:proofErr w:type="gramEnd"/>
      <w:r>
        <w:rPr>
          <w:rFonts w:cs="Arial"/>
        </w:rPr>
        <w:t xml:space="preserve"> and sharing educational materials with their clients to promote awareness and building community knowledge about health, safety, and resources. Staff also conducted HQS inspections at new HOME assisted permanent supportive housing units.</w:t>
      </w:r>
    </w:p>
    <w:p w14:paraId="33A0769F" w14:textId="77777777" w:rsidR="00A4199D" w:rsidRDefault="000B6150">
      <w:pPr>
        <w:widowControl w:val="0"/>
        <w:rPr>
          <w:b/>
          <w:sz w:val="24"/>
          <w:szCs w:val="24"/>
        </w:rPr>
      </w:pPr>
      <w:r>
        <w:rPr>
          <w:b/>
          <w:sz w:val="24"/>
          <w:szCs w:val="24"/>
        </w:rPr>
        <w:lastRenderedPageBreak/>
        <w:t>Actions taken to reduce the number of poverty-level families. 91.220(k); 91.320(j)</w:t>
      </w:r>
    </w:p>
    <w:p w14:paraId="2DF37AF8" w14:textId="77777777" w:rsidR="00A4199D" w:rsidRDefault="000B6150">
      <w:pPr>
        <w:widowControl w:val="0"/>
        <w:spacing w:beforeAutospacing="1" w:afterAutospacing="1"/>
        <w:rPr>
          <w:rFonts w:cs="Arial"/>
        </w:rPr>
      </w:pPr>
      <w:r>
        <w:rPr>
          <w:rFonts w:cs="Arial"/>
        </w:rPr>
        <w:t xml:space="preserve">The service providers engage in a comprehensive assessment of each household served to identify supportive services that will improve long-term housing stability. Tenant-based rental assistance programs are operated out of community action agencies in each county, which allows for strong referrals to a variety of anti-poverty programs, including Basic Food, energy assistance, WIC, job training, DSHS, etc. PY2023 brought a new resource to the </w:t>
      </w:r>
      <w:proofErr w:type="spellStart"/>
      <w:r>
        <w:rPr>
          <w:rFonts w:cs="Arial"/>
        </w:rPr>
        <w:t>Consortiu</w:t>
      </w:r>
      <w:proofErr w:type="spellEnd"/>
      <w:r>
        <w:rPr>
          <w:rFonts w:cs="Arial"/>
        </w:rPr>
        <w:t xml:space="preserve"> region- HDPF prevention and diversion funding was made available in Whatcom and Skagit County. This fund supports youth and families who are homeless or at risk of homelessness with flexible funds.</w:t>
      </w:r>
    </w:p>
    <w:p w14:paraId="70C14153" w14:textId="77777777" w:rsidR="00A4199D" w:rsidRDefault="000B6150">
      <w:pPr>
        <w:widowControl w:val="0"/>
        <w:rPr>
          <w:b/>
          <w:sz w:val="24"/>
          <w:szCs w:val="24"/>
        </w:rPr>
      </w:pPr>
      <w:r>
        <w:rPr>
          <w:b/>
          <w:sz w:val="24"/>
          <w:szCs w:val="24"/>
        </w:rPr>
        <w:t>Actions taken to develop institutional structure. 91.220(k); 91.320(j)</w:t>
      </w:r>
    </w:p>
    <w:p w14:paraId="40F40710" w14:textId="77777777" w:rsidR="00A4199D" w:rsidRDefault="000B6150">
      <w:pPr>
        <w:widowControl w:val="0"/>
        <w:spacing w:beforeAutospacing="1" w:afterAutospacing="1"/>
        <w:rPr>
          <w:rFonts w:cs="Arial"/>
        </w:rPr>
      </w:pPr>
      <w:r>
        <w:rPr>
          <w:rFonts w:cs="Arial"/>
        </w:rPr>
        <w:t xml:space="preserve">The Consortium continues its efforts to build strong relationships among participating jurisdictions and contractors. These efforts include regular meetings and contacts with agencies and representatives from participating jurisdictions. The Consortium continues to formalize relationships </w:t>
      </w:r>
      <w:proofErr w:type="gramStart"/>
      <w:r>
        <w:rPr>
          <w:rFonts w:cs="Arial"/>
        </w:rPr>
        <w:t>through the use of</w:t>
      </w:r>
      <w:proofErr w:type="gramEnd"/>
      <w:r>
        <w:rPr>
          <w:rFonts w:cs="Arial"/>
        </w:rPr>
        <w:t xml:space="preserve"> MOUs, agreements, and contracts. Additionally, the Consortium provides representation on local community and interagency workgroups involved in Coordinated Entry or other programs with outreach and involvement with households who may benefit from HOME funding.</w:t>
      </w:r>
    </w:p>
    <w:p w14:paraId="6CBFB8AB" w14:textId="77777777" w:rsidR="00A4199D" w:rsidRDefault="000B6150">
      <w:pPr>
        <w:widowControl w:val="0"/>
        <w:spacing w:beforeAutospacing="1" w:afterAutospacing="1"/>
        <w:rPr>
          <w:rFonts w:cs="Arial"/>
        </w:rPr>
      </w:pPr>
      <w:r>
        <w:rPr>
          <w:rFonts w:cs="Arial"/>
        </w:rPr>
        <w:t>Skagit County believes it is important to bring community leaders and residents together to better understand affordable housing and homelessness in our communities, and to explore solutions. </w:t>
      </w:r>
    </w:p>
    <w:p w14:paraId="121C5962" w14:textId="77777777" w:rsidR="00A4199D" w:rsidRDefault="000B6150">
      <w:pPr>
        <w:widowControl w:val="0"/>
        <w:spacing w:beforeAutospacing="1" w:afterAutospacing="1"/>
        <w:rPr>
          <w:rFonts w:cs="Arial"/>
        </w:rPr>
      </w:pPr>
      <w:r>
        <w:rPr>
          <w:rFonts w:cs="Arial"/>
        </w:rPr>
        <w:t>Skagit County staff actively participate in the Skagit County Housing Consortium, which includes representation from local governments, non-profits, for-profit developers, and other stakeholders interested in affordable housing development. Additionally, Skagit County has partnered with Anchor Community Initiatives, Away Home Washington to address Youth Homelessness in Skagit County.</w:t>
      </w:r>
    </w:p>
    <w:p w14:paraId="649DAF62" w14:textId="77777777" w:rsidR="00A4199D" w:rsidRDefault="000B6150">
      <w:pPr>
        <w:widowControl w:val="0"/>
        <w:spacing w:beforeAutospacing="1" w:afterAutospacing="1"/>
        <w:rPr>
          <w:rFonts w:cs="Arial"/>
        </w:rPr>
      </w:pPr>
      <w:r>
        <w:rPr>
          <w:rFonts w:cs="Arial"/>
        </w:rPr>
        <w:t>Additionally, through Skagit County's administration of multiple state CDBG grants, the Consortium staff has increased its familiarity with federal environmental review, labor, and procurement requirements.</w:t>
      </w:r>
    </w:p>
    <w:p w14:paraId="105E37F1" w14:textId="77777777" w:rsidR="00A4199D" w:rsidRDefault="000B6150">
      <w:pPr>
        <w:widowControl w:val="0"/>
        <w:rPr>
          <w:b/>
          <w:sz w:val="24"/>
          <w:szCs w:val="24"/>
        </w:rPr>
      </w:pPr>
      <w:r>
        <w:rPr>
          <w:b/>
          <w:sz w:val="24"/>
          <w:szCs w:val="24"/>
        </w:rPr>
        <w:t>Actions taken to enhance coordination between public and private housing and social service agencies. 91.220(k); 91.320(j)</w:t>
      </w:r>
    </w:p>
    <w:p w14:paraId="0994DD44" w14:textId="77777777" w:rsidR="00A4199D" w:rsidRDefault="000B6150">
      <w:pPr>
        <w:widowControl w:val="0"/>
        <w:spacing w:beforeAutospacing="1" w:afterAutospacing="1"/>
        <w:rPr>
          <w:rFonts w:cs="Arial"/>
        </w:rPr>
      </w:pPr>
      <w:r>
        <w:rPr>
          <w:rFonts w:cs="Arial"/>
        </w:rPr>
        <w:t>Staff from Skagit, Island, and Whatcom counties each continue to participate in their local Continuum of Care, which allows regular coordination between public and private housing and social service agencies. Staff attend monthly meetings and participate in steering committee conversations that guide updates to their Plans to End Homelessness. Additionally, staff from Skagit, Island, and Whatcom counties are working with their city members to recruit landlords, housing developers, and social service agencie</w:t>
      </w:r>
      <w:r>
        <w:rPr>
          <w:rFonts w:cs="Arial"/>
        </w:rPr>
        <w:t>s with the capacity to undertake new HOME-related projects.</w:t>
      </w:r>
      <w:r>
        <w:rPr>
          <w:rFonts w:cs="Arial"/>
          <w:b/>
        </w:rPr>
        <w:t xml:space="preserve"> </w:t>
      </w:r>
    </w:p>
    <w:p w14:paraId="2EF91C79" w14:textId="77777777" w:rsidR="00A4199D" w:rsidRDefault="000B6150">
      <w:pPr>
        <w:widowControl w:val="0"/>
        <w:rPr>
          <w:b/>
          <w:sz w:val="24"/>
          <w:szCs w:val="24"/>
        </w:rPr>
      </w:pPr>
      <w:r>
        <w:rPr>
          <w:b/>
          <w:sz w:val="24"/>
          <w:szCs w:val="24"/>
        </w:rPr>
        <w:t xml:space="preserve">Identify actions taken to overcome the effects of any impediments identified in the jurisdictions analysis of impediments to fair housing choice.  </w:t>
      </w:r>
      <w:r>
        <w:rPr>
          <w:b/>
          <w:sz w:val="24"/>
          <w:szCs w:val="24"/>
        </w:rPr>
        <w:t>91.520(a)</w:t>
      </w:r>
    </w:p>
    <w:p w14:paraId="25C60C39" w14:textId="77777777" w:rsidR="00A4199D" w:rsidRDefault="000B6150">
      <w:pPr>
        <w:widowControl w:val="0"/>
        <w:spacing w:beforeAutospacing="1" w:afterAutospacing="1"/>
        <w:rPr>
          <w:rFonts w:cs="Arial"/>
        </w:rPr>
      </w:pPr>
      <w:proofErr w:type="gramStart"/>
      <w:r>
        <w:rPr>
          <w:rFonts w:cs="Arial"/>
        </w:rPr>
        <w:lastRenderedPageBreak/>
        <w:t>In order to</w:t>
      </w:r>
      <w:proofErr w:type="gramEnd"/>
      <w:r>
        <w:rPr>
          <w:rFonts w:cs="Arial"/>
        </w:rPr>
        <w:t xml:space="preserve"> overcome impediments to fair housing choice, Skagit County, Island County and the city of Bellingham in Whatcom County funded outreach and engagement with landlords to educate them about affordable housing, </w:t>
      </w:r>
      <w:proofErr w:type="spellStart"/>
      <w:r>
        <w:rPr>
          <w:rFonts w:cs="Arial"/>
        </w:rPr>
        <w:t>tenants</w:t>
      </w:r>
      <w:proofErr w:type="spellEnd"/>
      <w:r>
        <w:rPr>
          <w:rFonts w:cs="Arial"/>
        </w:rPr>
        <w:t xml:space="preserve"> rights, and encourage them to work with disadvantaged tenants. Both Whatcom and Skagit have landlord liaison staff dedicated to cultivating strong partnerships between landlords, non-profit rental assistance agencies, and </w:t>
      </w:r>
      <w:proofErr w:type="gramStart"/>
      <w:r>
        <w:rPr>
          <w:rFonts w:cs="Arial"/>
        </w:rPr>
        <w:t>low income</w:t>
      </w:r>
      <w:proofErr w:type="gramEnd"/>
      <w:r>
        <w:rPr>
          <w:rFonts w:cs="Arial"/>
        </w:rPr>
        <w:t xml:space="preserve"> tenants.  Landlord liaison programs encourage education of both</w:t>
      </w:r>
      <w:r>
        <w:rPr>
          <w:rFonts w:cs="Arial"/>
        </w:rPr>
        <w:t xml:space="preserve"> landlords and tenants and work towards building equity with access to knowledge and resources to low income and vulnerable populations.</w:t>
      </w:r>
    </w:p>
    <w:p w14:paraId="39CFBE60" w14:textId="77777777" w:rsidR="00A4199D" w:rsidRDefault="000B6150">
      <w:pPr>
        <w:widowControl w:val="0"/>
        <w:spacing w:beforeAutospacing="1" w:afterAutospacing="1"/>
        <w:rPr>
          <w:rFonts w:cs="Arial"/>
        </w:rPr>
      </w:pPr>
      <w:r>
        <w:rPr>
          <w:rFonts w:cs="Arial"/>
        </w:rPr>
        <w:t>All three Counties work closely with their local Legal Aid programs to expand tenant education and information to income eligible residents, help prevent evictions, and help people maintain housing stability and be good tenants.  Skagit Legal Aid has staff that speak multiple languages and hosts multiple legal clinics serving a variety of needs across Skagit, Island, and Whatcom Counties. The Consortium has also seen outreach teams expand staffing and provide more accessible mobile outreach throughout the C</w:t>
      </w:r>
      <w:r>
        <w:rPr>
          <w:rFonts w:cs="Arial"/>
        </w:rPr>
        <w:t xml:space="preserve">onsortium regions with staff that include lived experience and staff that are multilingual. The Consortium has increased partnerships with by and </w:t>
      </w:r>
      <w:proofErr w:type="gramStart"/>
      <w:r>
        <w:rPr>
          <w:rFonts w:cs="Arial"/>
        </w:rPr>
        <w:t>for</w:t>
      </w:r>
      <w:proofErr w:type="gramEnd"/>
      <w:r>
        <w:rPr>
          <w:rFonts w:cs="Arial"/>
        </w:rPr>
        <w:t xml:space="preserve"> organizations and expanded Promotora staffing with multilingual staff to reach diverse communities across the region and ensure equitable access to information and resources.</w:t>
      </w:r>
    </w:p>
    <w:p w14:paraId="71C73047" w14:textId="77777777" w:rsidR="00A4199D" w:rsidRDefault="000B6150">
      <w:pPr>
        <w:widowControl w:val="0"/>
        <w:spacing w:beforeAutospacing="1" w:afterAutospacing="1"/>
        <w:rPr>
          <w:rFonts w:cs="Arial"/>
        </w:rPr>
      </w:pPr>
      <w:r>
        <w:rPr>
          <w:rFonts w:cs="Arial"/>
        </w:rPr>
        <w:t>The Consortium has focused its attention on dedicated local funds for affordable housing production, which was identified as a major impediment in the Analysis of Impediments to Fair Housing Choice. We will continue to prioritize fair housing and ensure our local partners do the same.</w:t>
      </w:r>
    </w:p>
    <w:p w14:paraId="019417F8" w14:textId="77777777" w:rsidR="00A4199D" w:rsidRDefault="000B6150">
      <w:pPr>
        <w:pStyle w:val="Heading2"/>
        <w:pageBreakBefore/>
        <w:widowControl w:val="0"/>
        <w:rPr>
          <w:rFonts w:ascii="Calibri" w:hAnsi="Calibri"/>
          <w:i w:val="0"/>
        </w:rPr>
      </w:pPr>
      <w:r>
        <w:rPr>
          <w:rFonts w:ascii="Calibri" w:hAnsi="Calibri"/>
          <w:i w:val="0"/>
        </w:rPr>
        <w:lastRenderedPageBreak/>
        <w:t>CR-40 - Monitoring 91.220 and 91.230</w:t>
      </w:r>
    </w:p>
    <w:p w14:paraId="29684875" w14:textId="77777777" w:rsidR="00A4199D" w:rsidRDefault="000B6150">
      <w:pPr>
        <w:widowControl w:val="0"/>
        <w:rPr>
          <w:b/>
          <w:sz w:val="24"/>
          <w:szCs w:val="24"/>
        </w:rPr>
      </w:pPr>
      <w:r>
        <w:rPr>
          <w:b/>
          <w:sz w:val="24"/>
          <w:szCs w:val="24"/>
        </w:rPr>
        <w:t xml:space="preserve">Describe the standards and procedures used to monitor activities carried out in furtherance of the plan and used to ensure long-term compliance with </w:t>
      </w:r>
      <w:proofErr w:type="gramStart"/>
      <w:r>
        <w:rPr>
          <w:b/>
          <w:sz w:val="24"/>
          <w:szCs w:val="24"/>
        </w:rPr>
        <w:t>requirements</w:t>
      </w:r>
      <w:proofErr w:type="gramEnd"/>
      <w:r>
        <w:rPr>
          <w:b/>
          <w:sz w:val="24"/>
          <w:szCs w:val="24"/>
        </w:rPr>
        <w:t xml:space="preserve"> of the programs involved, including minority business outreach and the comprehensive planning requirements</w:t>
      </w:r>
    </w:p>
    <w:p w14:paraId="20B06F4C" w14:textId="77777777" w:rsidR="00A4199D" w:rsidRDefault="00A4199D">
      <w:pPr>
        <w:widowControl w:val="0"/>
        <w:rPr>
          <w:rFonts w:cs="Arial"/>
        </w:rPr>
      </w:pPr>
    </w:p>
    <w:p w14:paraId="2BAA7DD5" w14:textId="77777777" w:rsidR="00A4199D" w:rsidRDefault="00A4199D">
      <w:pPr>
        <w:widowControl w:val="0"/>
        <w:rPr>
          <w:rFonts w:cs="Arial"/>
        </w:rPr>
      </w:pPr>
    </w:p>
    <w:p w14:paraId="46AA0D96" w14:textId="77777777" w:rsidR="00A4199D" w:rsidRDefault="000B6150">
      <w:pPr>
        <w:widowControl w:val="0"/>
        <w:spacing w:beforeAutospacing="1" w:afterAutospacing="1"/>
        <w:rPr>
          <w:rFonts w:cs="Arial"/>
        </w:rPr>
      </w:pPr>
      <w:r>
        <w:rPr>
          <w:rFonts w:cs="Arial"/>
        </w:rPr>
        <w:t>During PY2023 the Consortium completed monitoring of all three TBRA contractors. Monitoring consisted of desk audit questions, files review, and financial record review on site with program staff. The Consortium has also developed monitoring procedures for all units produced with HOME funds to assure long-term compliance with relevant requirements. Throughout PY2023 Consortium staff reviewed subrecipient billings, invoicing, beneficiary reports, and backup documentation to ensure program compliance monthly.</w:t>
      </w:r>
      <w:r>
        <w:rPr>
          <w:rFonts w:cs="Arial"/>
        </w:rPr>
        <w:t xml:space="preserve"> Skagit, Whatcom, and Island counties monitor HMIS data to measure progress toward goals to reduce and end homelessness. Subrecipients submit a quarterly TBRA beneficiary report along with monthly invoices for reimbursement for program activities.   </w:t>
      </w:r>
    </w:p>
    <w:p w14:paraId="04D81457" w14:textId="77777777" w:rsidR="00A4199D" w:rsidRDefault="000B6150">
      <w:pPr>
        <w:widowControl w:val="0"/>
        <w:spacing w:beforeAutospacing="1" w:afterAutospacing="1"/>
        <w:rPr>
          <w:rFonts w:cs="Arial"/>
        </w:rPr>
      </w:pPr>
      <w:r>
        <w:rPr>
          <w:rFonts w:cs="Arial"/>
        </w:rPr>
        <w:t>HOME development projects are monitored regularly by Skagit County Public Health staff throughout development. The purpose of staff monitoring during development is to ensure and document compliance with HOME environmental mitigation requirements (as applicable); project progress in alignment with draw requests and HOME project deadlines; project execution consistent with HOME funding agreements and project plans; and monitoring of project spending and costs in comparison with final project development budg</w:t>
      </w:r>
      <w:r>
        <w:rPr>
          <w:rFonts w:cs="Arial"/>
        </w:rPr>
        <w:t>et.</w:t>
      </w:r>
    </w:p>
    <w:p w14:paraId="70910B7E" w14:textId="77777777" w:rsidR="00A4199D" w:rsidRDefault="000B6150">
      <w:pPr>
        <w:widowControl w:val="0"/>
        <w:spacing w:beforeAutospacing="1" w:afterAutospacing="1"/>
        <w:rPr>
          <w:rFonts w:cs="Arial"/>
        </w:rPr>
      </w:pPr>
      <w:r>
        <w:rPr>
          <w:rFonts w:cs="Arial"/>
        </w:rPr>
        <w:t xml:space="preserve">During PY2023 Skagit County conducted extensive monitoring of the Permanent Supportive Housing development in Mount Vernon which had been operating for 1 year so far. All HOME compliance requirements were reviewed, files and leases, site visit, and HQS </w:t>
      </w:r>
      <w:proofErr w:type="spellStart"/>
      <w:r>
        <w:rPr>
          <w:rFonts w:cs="Arial"/>
        </w:rPr>
        <w:t>ispections</w:t>
      </w:r>
      <w:proofErr w:type="spellEnd"/>
      <w:r>
        <w:rPr>
          <w:rFonts w:cs="Arial"/>
        </w:rPr>
        <w:t xml:space="preserve"> were conducted on HOME assisted units.</w:t>
      </w:r>
    </w:p>
    <w:p w14:paraId="0772E254" w14:textId="77777777" w:rsidR="00A4199D" w:rsidRDefault="000B6150">
      <w:pPr>
        <w:widowControl w:val="0"/>
        <w:spacing w:beforeAutospacing="1" w:afterAutospacing="1"/>
        <w:rPr>
          <w:rFonts w:cs="Arial"/>
        </w:rPr>
      </w:pPr>
      <w:r>
        <w:rPr>
          <w:rFonts w:cs="Arial"/>
        </w:rPr>
        <w:t>Comprehensive planning requirements are monitored through each jurisdiction's planning departments, governed by the Washington State Growth Management Act. Contractors are required to undertake minority business outreach, which is monitored through yearly on-site audits and one-on-one technical assistance conversations.</w:t>
      </w:r>
    </w:p>
    <w:p w14:paraId="5D61663D" w14:textId="77777777" w:rsidR="00A4199D" w:rsidRDefault="00A4199D">
      <w:pPr>
        <w:widowControl w:val="0"/>
        <w:rPr>
          <w:rFonts w:cs="Arial"/>
        </w:rPr>
      </w:pPr>
    </w:p>
    <w:p w14:paraId="7C9C1510" w14:textId="77777777" w:rsidR="00A4199D" w:rsidRDefault="000B6150">
      <w:pPr>
        <w:widowControl w:val="0"/>
        <w:rPr>
          <w:b/>
          <w:sz w:val="24"/>
          <w:szCs w:val="24"/>
        </w:rPr>
      </w:pPr>
      <w:r>
        <w:rPr>
          <w:b/>
          <w:sz w:val="24"/>
          <w:szCs w:val="24"/>
        </w:rPr>
        <w:t>Citizen Participation Plan 91.105(d); 91.115(d)</w:t>
      </w:r>
    </w:p>
    <w:p w14:paraId="0AE0FE07" w14:textId="77777777" w:rsidR="00A4199D" w:rsidRDefault="000B6150">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14:paraId="747E05B7" w14:textId="77777777" w:rsidR="00A4199D" w:rsidRDefault="000B6150">
      <w:pPr>
        <w:spacing w:beforeAutospacing="1" w:afterAutospacing="1"/>
      </w:pPr>
      <w:r>
        <w:lastRenderedPageBreak/>
        <w:t xml:space="preserve">The CAPER was made available for citizens to comment over nineteen days from September 9th, 2024- September 24th, 2024. which exceeds the period required by the Consortium's policy. Citizens were also notified of report availability and an associated public hearing via the local newspaper (published in English and Spanish) and the Skagit County Commissioner's resolution calling for citizen input.  Skagit County also sent out a request for public input to its housing </w:t>
      </w:r>
      <w:proofErr w:type="spellStart"/>
      <w:r>
        <w:t>listserve</w:t>
      </w:r>
      <w:proofErr w:type="spellEnd"/>
      <w:r>
        <w:t xml:space="preserve"> that reaches 2,000+ email addresses and followed up with a more targeted request for comment from Consortium member jurisdictions.</w:t>
      </w:r>
    </w:p>
    <w:p w14:paraId="21AE4002" w14:textId="77777777" w:rsidR="00A4199D" w:rsidRDefault="00A4199D">
      <w:pPr>
        <w:spacing w:beforeAutospacing="1" w:afterAutospacing="1"/>
      </w:pPr>
    </w:p>
    <w:p w14:paraId="34DA5063" w14:textId="77777777" w:rsidR="00A4199D" w:rsidRDefault="000B6150">
      <w:pPr>
        <w:spacing w:beforeAutospacing="1" w:afterAutospacing="1"/>
      </w:pPr>
      <w:r>
        <w:t>No public comments were received. </w:t>
      </w:r>
    </w:p>
    <w:p w14:paraId="364AC0A1" w14:textId="77777777" w:rsidR="00A4199D" w:rsidRDefault="00A4199D">
      <w:pPr>
        <w:spacing w:beforeAutospacing="1" w:afterAutospacing="1"/>
      </w:pPr>
    </w:p>
    <w:p w14:paraId="6CCCB215" w14:textId="77777777" w:rsidR="00A4199D" w:rsidRDefault="000B6150">
      <w:pPr>
        <w:spacing w:beforeAutospacing="1" w:afterAutospacing="1"/>
      </w:pPr>
      <w:r>
        <w:t>Citizen Participation Plan is found here:</w:t>
      </w:r>
    </w:p>
    <w:p w14:paraId="03D8C86B" w14:textId="77777777" w:rsidR="00A4199D" w:rsidRDefault="000B6150">
      <w:pPr>
        <w:spacing w:beforeAutospacing="1" w:afterAutospacing="1"/>
      </w:pPr>
      <w:r>
        <w:t>https://www.skagitcounty.net/HumanServices/Documents/Housing/Skagit%20County%20Consortium%20Citizen%20Participation%20Plan%201018.pdf</w:t>
      </w:r>
    </w:p>
    <w:p w14:paraId="2E8D5CDB" w14:textId="77777777" w:rsidR="00A4199D" w:rsidRDefault="000B6150">
      <w:pPr>
        <w:keepNext/>
        <w:pageBreakBefore/>
        <w:widowControl w:val="0"/>
        <w:spacing w:before="240" w:after="60"/>
        <w:outlineLvl w:val="1"/>
        <w:rPr>
          <w:rFonts w:cs="Arial"/>
          <w:b/>
          <w:bCs/>
          <w:iCs/>
          <w:sz w:val="28"/>
          <w:szCs w:val="28"/>
        </w:rPr>
      </w:pPr>
      <w:r>
        <w:rPr>
          <w:rFonts w:cs="Arial"/>
          <w:b/>
          <w:bCs/>
          <w:iCs/>
          <w:sz w:val="28"/>
          <w:szCs w:val="28"/>
        </w:rPr>
        <w:lastRenderedPageBreak/>
        <w:t>CR-45 - CDBG 91.520(c)</w:t>
      </w:r>
    </w:p>
    <w:p w14:paraId="003008F1" w14:textId="77777777" w:rsidR="00A4199D" w:rsidRDefault="000B6150">
      <w:pPr>
        <w:widowControl w:val="0"/>
        <w:rPr>
          <w:b/>
          <w:sz w:val="24"/>
          <w:szCs w:val="24"/>
        </w:rPr>
      </w:pPr>
      <w:r>
        <w:rPr>
          <w:b/>
          <w:sz w:val="24"/>
          <w:szCs w:val="24"/>
        </w:rPr>
        <w:t xml:space="preserve">Specify the nature of, and reasons for, any changes in the jurisdiction’s program objectives and indications of how the jurisdiction would change its programs </w:t>
      </w:r>
      <w:proofErr w:type="gramStart"/>
      <w:r>
        <w:rPr>
          <w:b/>
          <w:sz w:val="24"/>
          <w:szCs w:val="24"/>
        </w:rPr>
        <w:t>as a result of</w:t>
      </w:r>
      <w:proofErr w:type="gramEnd"/>
      <w:r>
        <w:rPr>
          <w:b/>
          <w:sz w:val="24"/>
          <w:szCs w:val="24"/>
        </w:rPr>
        <w:t xml:space="preserve"> its experiences.</w:t>
      </w:r>
    </w:p>
    <w:p w14:paraId="4DD3AEB0" w14:textId="77777777" w:rsidR="00A4199D" w:rsidRDefault="000B6150">
      <w:pPr>
        <w:widowControl w:val="0"/>
        <w:rPr>
          <w:b/>
          <w:sz w:val="24"/>
          <w:szCs w:val="24"/>
        </w:rPr>
      </w:pPr>
      <w:r>
        <w:rPr>
          <w:b/>
          <w:sz w:val="24"/>
          <w:szCs w:val="24"/>
        </w:rPr>
        <w:t>Does this Jurisdiction have any open Brownfields Economic Development Initiative (BEDI) grants?</w:t>
      </w:r>
    </w:p>
    <w:p w14:paraId="4CE16510" w14:textId="77777777" w:rsidR="00A4199D" w:rsidRDefault="000B6150">
      <w:pPr>
        <w:widowControl w:val="0"/>
        <w:rPr>
          <w:b/>
          <w:sz w:val="24"/>
          <w:szCs w:val="24"/>
        </w:rPr>
      </w:pPr>
      <w:r>
        <w:rPr>
          <w:b/>
          <w:sz w:val="24"/>
          <w:szCs w:val="24"/>
        </w:rPr>
        <w:t xml:space="preserve">[BEDI </w:t>
      </w:r>
      <w:proofErr w:type="gramStart"/>
      <w:r>
        <w:rPr>
          <w:b/>
          <w:sz w:val="24"/>
          <w:szCs w:val="24"/>
        </w:rPr>
        <w:t>grantees]  Describe</w:t>
      </w:r>
      <w:proofErr w:type="gramEnd"/>
      <w:r>
        <w:rPr>
          <w:b/>
          <w:sz w:val="24"/>
          <w:szCs w:val="24"/>
        </w:rPr>
        <w:t xml:space="preserve"> accomplishments and program outcomes during the last year.</w:t>
      </w:r>
    </w:p>
    <w:p w14:paraId="7DEEF7D7" w14:textId="77777777" w:rsidR="00A4199D" w:rsidRDefault="00A4199D"/>
    <w:p w14:paraId="53A6FBEC" w14:textId="77777777" w:rsidR="00A4199D" w:rsidRDefault="00A4199D"/>
    <w:p w14:paraId="481B80A6" w14:textId="77777777" w:rsidR="00A4199D" w:rsidRDefault="000B6150">
      <w:pPr>
        <w:pStyle w:val="Heading2"/>
        <w:pageBreakBefore/>
        <w:widowControl w:val="0"/>
        <w:rPr>
          <w:rFonts w:ascii="Calibri" w:hAnsi="Calibri"/>
          <w:i w:val="0"/>
        </w:rPr>
      </w:pPr>
      <w:r>
        <w:rPr>
          <w:rFonts w:ascii="Calibri" w:hAnsi="Calibri"/>
          <w:i w:val="0"/>
        </w:rPr>
        <w:lastRenderedPageBreak/>
        <w:t>CR-50 - HOME 24 CFR 91.520(d)</w:t>
      </w:r>
    </w:p>
    <w:p w14:paraId="62233A11" w14:textId="77777777" w:rsidR="00A4199D" w:rsidRDefault="000B6150">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14:paraId="7C778F3D" w14:textId="77777777" w:rsidR="00A4199D" w:rsidRDefault="000B6150">
      <w:pPr>
        <w:widowControl w:val="0"/>
        <w:rPr>
          <w:sz w:val="24"/>
          <w:szCs w:val="24"/>
        </w:rPr>
      </w:pPr>
      <w:r>
        <w:rPr>
          <w:sz w:val="24"/>
          <w:szCs w:val="24"/>
        </w:rPr>
        <w:t>Please list those projects that should have been inspected on-site this program year based upon the schedule in 24 CFR §92.504(d). Indicate which of these were inspected and a summary of issues that were detected during the inspection. For those that were not inspected, please indicate the reason and how you will remedy the situation.</w:t>
      </w:r>
    </w:p>
    <w:p w14:paraId="11BF1B09" w14:textId="77777777" w:rsidR="00A4199D" w:rsidRDefault="000B6150">
      <w:pPr>
        <w:widowControl w:val="0"/>
        <w:spacing w:beforeAutospacing="1" w:afterAutospacing="1"/>
        <w:rPr>
          <w:rFonts w:cs="Arial"/>
        </w:rPr>
      </w:pPr>
      <w:r>
        <w:rPr>
          <w:rFonts w:cs="Arial"/>
        </w:rPr>
        <w:t>Martha’s Place Site Visits: 3/12/2024 HOME Compliance Audit and HQS Inspections</w:t>
      </w:r>
    </w:p>
    <w:p w14:paraId="6B7CF61E" w14:textId="77777777" w:rsidR="00A4199D" w:rsidRDefault="000B6150">
      <w:pPr>
        <w:widowControl w:val="0"/>
        <w:spacing w:beforeAutospacing="1" w:afterAutospacing="1"/>
        <w:rPr>
          <w:rFonts w:cs="Arial"/>
        </w:rPr>
      </w:pPr>
      <w:r>
        <w:rPr>
          <w:rFonts w:cs="Arial"/>
        </w:rPr>
        <w:t>No issues identified</w:t>
      </w:r>
    </w:p>
    <w:p w14:paraId="33FAD289" w14:textId="77777777" w:rsidR="00A4199D" w:rsidRDefault="000B6150">
      <w:pPr>
        <w:widowControl w:val="0"/>
        <w:rPr>
          <w:b/>
          <w:sz w:val="24"/>
          <w:szCs w:val="24"/>
        </w:rPr>
      </w:pPr>
      <w:r>
        <w:rPr>
          <w:b/>
          <w:sz w:val="24"/>
          <w:szCs w:val="24"/>
        </w:rPr>
        <w:t>Provide an assessment of the jurisdiction's affirmative marketing actions for HOME units. 24 CFR 91.520(e) and 24 CFR 92.351(a)</w:t>
      </w:r>
    </w:p>
    <w:p w14:paraId="386BB281" w14:textId="77777777" w:rsidR="00A4199D" w:rsidRDefault="000B6150">
      <w:pPr>
        <w:widowControl w:val="0"/>
        <w:spacing w:beforeAutospacing="1" w:afterAutospacing="1"/>
        <w:rPr>
          <w:rFonts w:cs="Arial"/>
        </w:rPr>
      </w:pPr>
      <w:r>
        <w:rPr>
          <w:rFonts w:cs="Arial"/>
        </w:rPr>
        <w:t>Affordable Housing: The new Martha’s Place PSH project was undergoing lease-up during the period.  In addition to complying with fair housing requirements, the Consortium’s goal in this process has been to assure that individuals who normally might not apply for units, because of their race, ethnicity, or other barriers: (1) know about the vacancies; (2) feel welcome to apply; and (3) have the opportunity to rent both HOME Program Assisted Units and other units of the development project.  To ensure that th</w:t>
      </w:r>
      <w:r>
        <w:rPr>
          <w:rFonts w:cs="Arial"/>
        </w:rPr>
        <w:t xml:space="preserve">e most vulnerable people had the opportunity to apply, providers across Skagit County worked together to identify individuals and make sure they were actively referred.  This activity included regular meetings with county staff, the project sponsor, outreach teams, co-responders, shelter, and other organizations. For example, when applicants needed support with tasks like </w:t>
      </w:r>
      <w:proofErr w:type="gramStart"/>
      <w:r>
        <w:rPr>
          <w:rFonts w:cs="Arial"/>
        </w:rPr>
        <w:t>documentation of homelessness</w:t>
      </w:r>
      <w:proofErr w:type="gramEnd"/>
      <w:r>
        <w:rPr>
          <w:rFonts w:cs="Arial"/>
        </w:rPr>
        <w:t>, identification or other application paperwork, outreach teams from Community Action, Skagit County, and th</w:t>
      </w:r>
      <w:r>
        <w:rPr>
          <w:rFonts w:cs="Arial"/>
        </w:rPr>
        <w:t>e City of Mount Vernon helped find individuals and supported them through the process.</w:t>
      </w:r>
    </w:p>
    <w:p w14:paraId="16ABC573" w14:textId="77777777" w:rsidR="00A4199D" w:rsidRDefault="000B6150">
      <w:pPr>
        <w:widowControl w:val="0"/>
        <w:spacing w:beforeAutospacing="1" w:afterAutospacing="1"/>
        <w:rPr>
          <w:rFonts w:cs="Arial"/>
        </w:rPr>
      </w:pPr>
      <w:r>
        <w:rPr>
          <w:rFonts w:cs="Arial"/>
        </w:rPr>
        <w:t xml:space="preserve">TRBA: </w:t>
      </w:r>
      <w:proofErr w:type="gramStart"/>
      <w:r>
        <w:rPr>
          <w:rFonts w:cs="Arial"/>
        </w:rPr>
        <w:t>households</w:t>
      </w:r>
      <w:proofErr w:type="gramEnd"/>
      <w:r>
        <w:rPr>
          <w:rFonts w:cs="Arial"/>
        </w:rPr>
        <w:t xml:space="preserve"> are prioritized by a consistent Coordinated Entry process in </w:t>
      </w:r>
      <w:proofErr w:type="gramStart"/>
      <w:r>
        <w:rPr>
          <w:rFonts w:cs="Arial"/>
        </w:rPr>
        <w:t>all of</w:t>
      </w:r>
      <w:proofErr w:type="gramEnd"/>
      <w:r>
        <w:rPr>
          <w:rFonts w:cs="Arial"/>
        </w:rPr>
        <w:t xml:space="preserve"> the three counties. When possible, we coordinate with other partners, such as the criminal justice, education, and behavioral health systems to increase referrals to TBRA. Agencies administering TBRA funding also make homeless households aware of additional services designed to help them achieve long-term housing stability through active case management. </w:t>
      </w:r>
    </w:p>
    <w:p w14:paraId="56C2844C" w14:textId="77777777" w:rsidR="00A4199D" w:rsidRDefault="000B6150">
      <w:pPr>
        <w:widowControl w:val="0"/>
        <w:rPr>
          <w:b/>
          <w:sz w:val="24"/>
          <w:szCs w:val="24"/>
        </w:rPr>
      </w:pPr>
      <w:r>
        <w:rPr>
          <w:b/>
          <w:sz w:val="24"/>
          <w:szCs w:val="24"/>
        </w:rPr>
        <w:t>Refer to IDIS reports to describe the amount and use of program income for projects, including the number of projects and owner and tenant characteristics</w:t>
      </w:r>
    </w:p>
    <w:p w14:paraId="7F5A484C" w14:textId="77777777" w:rsidR="00A4199D" w:rsidRDefault="000B6150">
      <w:pPr>
        <w:widowControl w:val="0"/>
        <w:spacing w:beforeAutospacing="1" w:afterAutospacing="1"/>
        <w:rPr>
          <w:rFonts w:cs="Arial"/>
        </w:rPr>
      </w:pPr>
      <w:r>
        <w:rPr>
          <w:rFonts w:cs="Arial"/>
        </w:rPr>
        <w:t>No program income was reported during the program year. </w:t>
      </w:r>
    </w:p>
    <w:p w14:paraId="45949301" w14:textId="77777777" w:rsidR="00A4199D" w:rsidRDefault="000B6150">
      <w:pPr>
        <w:widowControl w:val="0"/>
        <w:rPr>
          <w:b/>
          <w:sz w:val="24"/>
          <w:szCs w:val="24"/>
        </w:rPr>
      </w:pPr>
      <w:r>
        <w:rPr>
          <w:b/>
          <w:sz w:val="24"/>
          <w:szCs w:val="24"/>
        </w:rPr>
        <w:t xml:space="preserve">Describe other actions taken to foster and maintain affordable housing. 24 CFR 91.220(k) (STATES ONLY: Including the coordination of LIHTC with the development of affordable </w:t>
      </w:r>
      <w:r>
        <w:rPr>
          <w:b/>
          <w:sz w:val="24"/>
          <w:szCs w:val="24"/>
        </w:rPr>
        <w:lastRenderedPageBreak/>
        <w:t>housing). 24 CFR 91.320(j)</w:t>
      </w:r>
    </w:p>
    <w:p w14:paraId="6FD86FE4" w14:textId="77777777" w:rsidR="00A4199D" w:rsidRDefault="00A4199D">
      <w:pPr>
        <w:widowControl w:val="0"/>
        <w:rPr>
          <w:rFonts w:cs="Arial"/>
        </w:rPr>
      </w:pPr>
    </w:p>
    <w:p w14:paraId="5D49788F" w14:textId="77777777" w:rsidR="00A4199D" w:rsidRDefault="00A4199D">
      <w:pPr>
        <w:widowControl w:val="0"/>
        <w:rPr>
          <w:rFonts w:cs="Arial"/>
          <w:szCs w:val="26"/>
        </w:rPr>
      </w:pPr>
    </w:p>
    <w:p w14:paraId="66A2F42B" w14:textId="77777777" w:rsidR="00A4199D" w:rsidRDefault="00A4199D"/>
    <w:p w14:paraId="147DF6E2" w14:textId="77777777" w:rsidR="00A4199D" w:rsidRDefault="00A4199D"/>
    <w:p w14:paraId="3F74E6BC" w14:textId="77777777" w:rsidR="00A4199D" w:rsidRDefault="000B6150">
      <w:pPr>
        <w:pStyle w:val="Heading2"/>
        <w:keepNext w:val="0"/>
        <w:pageBreakBefore/>
        <w:widowControl w:val="0"/>
        <w:rPr>
          <w:rFonts w:ascii="Calibri" w:hAnsi="Calibri"/>
          <w:i w:val="0"/>
        </w:rPr>
      </w:pPr>
      <w:r>
        <w:rPr>
          <w:rFonts w:ascii="Calibri" w:hAnsi="Calibri"/>
          <w:i w:val="0"/>
        </w:rPr>
        <w:lastRenderedPageBreak/>
        <w:t>CR-58 – Section 3</w:t>
      </w:r>
    </w:p>
    <w:p w14:paraId="02C4A1B4" w14:textId="77777777" w:rsidR="00A4199D" w:rsidRDefault="000B6150">
      <w:pPr>
        <w:widowControl w:val="0"/>
        <w:rPr>
          <w:b/>
          <w:sz w:val="24"/>
          <w:szCs w:val="24"/>
        </w:rPr>
      </w:pPr>
      <w:r>
        <w:rPr>
          <w:b/>
          <w:sz w:val="24"/>
          <w:szCs w:val="24"/>
        </w:rPr>
        <w:t xml:space="preserve">Identify the number of individuals assisted and the types of assistance provided </w:t>
      </w:r>
    </w:p>
    <w:p w14:paraId="4C7C1CFA" w14:textId="77777777" w:rsidR="00A4199D" w:rsidRDefault="00A4199D">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A4199D" w14:paraId="52252C1F" w14:textId="77777777">
        <w:trPr>
          <w:cantSplit/>
        </w:trPr>
        <w:tc>
          <w:tcPr>
            <w:tcW w:w="5490" w:type="dxa"/>
          </w:tcPr>
          <w:p w14:paraId="50709191" w14:textId="77777777" w:rsidR="00A4199D" w:rsidRDefault="000B6150">
            <w:pPr>
              <w:keepNext/>
              <w:widowControl w:val="0"/>
              <w:tabs>
                <w:tab w:val="left" w:pos="2070"/>
              </w:tabs>
              <w:spacing w:after="0" w:line="240" w:lineRule="auto"/>
              <w:ind w:right="162"/>
              <w:jc w:val="center"/>
              <w:rPr>
                <w:b/>
              </w:rPr>
            </w:pPr>
            <w:r>
              <w:rPr>
                <w:b/>
              </w:rPr>
              <w:t>Total Labor Hours</w:t>
            </w:r>
          </w:p>
        </w:tc>
        <w:tc>
          <w:tcPr>
            <w:tcW w:w="810" w:type="dxa"/>
          </w:tcPr>
          <w:p w14:paraId="098D43FE" w14:textId="77777777" w:rsidR="00A4199D" w:rsidRDefault="000B6150">
            <w:pPr>
              <w:keepNext/>
              <w:widowControl w:val="0"/>
              <w:spacing w:after="0" w:line="240" w:lineRule="auto"/>
              <w:jc w:val="center"/>
              <w:rPr>
                <w:b/>
              </w:rPr>
            </w:pPr>
            <w:r>
              <w:rPr>
                <w:b/>
              </w:rPr>
              <w:t>CDBG</w:t>
            </w:r>
          </w:p>
        </w:tc>
        <w:tc>
          <w:tcPr>
            <w:tcW w:w="900" w:type="dxa"/>
          </w:tcPr>
          <w:p w14:paraId="0B76125C" w14:textId="77777777" w:rsidR="00A4199D" w:rsidRDefault="000B6150">
            <w:pPr>
              <w:keepNext/>
              <w:widowControl w:val="0"/>
              <w:spacing w:after="0" w:line="240" w:lineRule="auto"/>
              <w:jc w:val="center"/>
              <w:rPr>
                <w:b/>
              </w:rPr>
            </w:pPr>
            <w:r>
              <w:rPr>
                <w:b/>
              </w:rPr>
              <w:t>HOME</w:t>
            </w:r>
          </w:p>
        </w:tc>
        <w:tc>
          <w:tcPr>
            <w:tcW w:w="720" w:type="dxa"/>
          </w:tcPr>
          <w:p w14:paraId="4BAB17E8" w14:textId="77777777" w:rsidR="00A4199D" w:rsidRDefault="000B6150">
            <w:pPr>
              <w:keepNext/>
              <w:widowControl w:val="0"/>
              <w:spacing w:after="0" w:line="240" w:lineRule="auto"/>
              <w:rPr>
                <w:b/>
              </w:rPr>
            </w:pPr>
            <w:r>
              <w:rPr>
                <w:b/>
              </w:rPr>
              <w:t>ESG</w:t>
            </w:r>
          </w:p>
        </w:tc>
        <w:tc>
          <w:tcPr>
            <w:tcW w:w="990" w:type="dxa"/>
          </w:tcPr>
          <w:p w14:paraId="7DC0F9DE" w14:textId="77777777" w:rsidR="00A4199D" w:rsidRDefault="000B6150">
            <w:pPr>
              <w:keepNext/>
              <w:widowControl w:val="0"/>
              <w:spacing w:after="0" w:line="240" w:lineRule="auto"/>
              <w:jc w:val="center"/>
              <w:rPr>
                <w:b/>
              </w:rPr>
            </w:pPr>
            <w:r>
              <w:rPr>
                <w:b/>
              </w:rPr>
              <w:t>HOPWA</w:t>
            </w:r>
          </w:p>
        </w:tc>
        <w:tc>
          <w:tcPr>
            <w:tcW w:w="720" w:type="dxa"/>
          </w:tcPr>
          <w:p w14:paraId="6F3EAAA3" w14:textId="77777777" w:rsidR="00A4199D" w:rsidRDefault="000B6150">
            <w:pPr>
              <w:keepNext/>
              <w:widowControl w:val="0"/>
              <w:spacing w:after="0" w:line="240" w:lineRule="auto"/>
              <w:jc w:val="center"/>
              <w:rPr>
                <w:b/>
              </w:rPr>
            </w:pPr>
            <w:r>
              <w:rPr>
                <w:b/>
              </w:rPr>
              <w:t>HTF</w:t>
            </w:r>
          </w:p>
        </w:tc>
      </w:tr>
      <w:tr w:rsidR="00A4199D" w14:paraId="6750A03D" w14:textId="77777777">
        <w:trPr>
          <w:cantSplit/>
        </w:trPr>
        <w:tc>
          <w:tcPr>
            <w:tcW w:w="5490" w:type="dxa"/>
            <w:vAlign w:val="center"/>
          </w:tcPr>
          <w:p w14:paraId="771A734E" w14:textId="77777777" w:rsidR="00A4199D" w:rsidRDefault="000B6150">
            <w:pPr>
              <w:spacing w:beforeAutospacing="1" w:afterAutospacing="1"/>
            </w:pPr>
            <w:r>
              <w:rPr>
                <w:rFonts w:ascii="Arial" w:hAnsi="Arial"/>
                <w:color w:val="25396E"/>
                <w:sz w:val="16"/>
              </w:rPr>
              <w:t>Total Number of Activities</w:t>
            </w:r>
          </w:p>
        </w:tc>
        <w:tc>
          <w:tcPr>
            <w:tcW w:w="810" w:type="dxa"/>
            <w:vAlign w:val="center"/>
          </w:tcPr>
          <w:p w14:paraId="4CC67391" w14:textId="77777777" w:rsidR="00A4199D" w:rsidRDefault="000B6150">
            <w:pPr>
              <w:spacing w:beforeAutospacing="1" w:afterAutospacing="1"/>
              <w:jc w:val="right"/>
            </w:pPr>
            <w:r>
              <w:rPr>
                <w:rFonts w:ascii="Arial" w:hAnsi="Arial"/>
                <w:color w:val="000000"/>
                <w:sz w:val="16"/>
              </w:rPr>
              <w:t>0</w:t>
            </w:r>
          </w:p>
        </w:tc>
        <w:tc>
          <w:tcPr>
            <w:tcW w:w="900" w:type="dxa"/>
            <w:vAlign w:val="center"/>
          </w:tcPr>
          <w:p w14:paraId="744C61CE" w14:textId="77777777" w:rsidR="00A4199D" w:rsidRDefault="000B6150">
            <w:pPr>
              <w:spacing w:beforeAutospacing="1" w:afterAutospacing="1"/>
              <w:jc w:val="right"/>
            </w:pPr>
            <w:r>
              <w:rPr>
                <w:rFonts w:ascii="Arial" w:hAnsi="Arial"/>
                <w:color w:val="000000"/>
                <w:sz w:val="16"/>
              </w:rPr>
              <w:t>0</w:t>
            </w:r>
          </w:p>
        </w:tc>
        <w:tc>
          <w:tcPr>
            <w:tcW w:w="720" w:type="dxa"/>
            <w:vAlign w:val="center"/>
          </w:tcPr>
          <w:p w14:paraId="31511DC3" w14:textId="77777777" w:rsidR="00A4199D" w:rsidRDefault="000B6150">
            <w:pPr>
              <w:spacing w:beforeAutospacing="1" w:afterAutospacing="1"/>
              <w:jc w:val="right"/>
            </w:pPr>
            <w:r>
              <w:rPr>
                <w:rFonts w:ascii="Arial" w:hAnsi="Arial"/>
                <w:color w:val="000000"/>
                <w:sz w:val="16"/>
              </w:rPr>
              <w:t>0</w:t>
            </w:r>
          </w:p>
        </w:tc>
        <w:tc>
          <w:tcPr>
            <w:tcW w:w="990" w:type="dxa"/>
            <w:vAlign w:val="center"/>
          </w:tcPr>
          <w:p w14:paraId="0FEF9A7C" w14:textId="77777777" w:rsidR="00A4199D" w:rsidRDefault="000B6150">
            <w:pPr>
              <w:spacing w:beforeAutospacing="1" w:afterAutospacing="1"/>
              <w:jc w:val="right"/>
            </w:pPr>
            <w:r>
              <w:rPr>
                <w:rFonts w:ascii="Arial" w:hAnsi="Arial"/>
                <w:color w:val="000000"/>
                <w:sz w:val="16"/>
              </w:rPr>
              <w:t>0</w:t>
            </w:r>
          </w:p>
        </w:tc>
        <w:tc>
          <w:tcPr>
            <w:tcW w:w="720" w:type="dxa"/>
            <w:vAlign w:val="center"/>
          </w:tcPr>
          <w:p w14:paraId="760635F3" w14:textId="77777777" w:rsidR="00A4199D" w:rsidRDefault="000B6150">
            <w:pPr>
              <w:spacing w:beforeAutospacing="1" w:afterAutospacing="1"/>
              <w:jc w:val="right"/>
            </w:pPr>
            <w:r>
              <w:rPr>
                <w:rFonts w:ascii="Arial" w:hAnsi="Arial"/>
                <w:color w:val="000000"/>
                <w:sz w:val="16"/>
              </w:rPr>
              <w:t>0</w:t>
            </w:r>
          </w:p>
        </w:tc>
      </w:tr>
      <w:tr w:rsidR="00A4199D" w14:paraId="056B74F8" w14:textId="77777777">
        <w:trPr>
          <w:cantSplit/>
        </w:trPr>
        <w:tc>
          <w:tcPr>
            <w:tcW w:w="5490" w:type="dxa"/>
            <w:vAlign w:val="center"/>
          </w:tcPr>
          <w:p w14:paraId="1B2032D5" w14:textId="77777777" w:rsidR="00A4199D" w:rsidRDefault="000B6150">
            <w:pPr>
              <w:spacing w:beforeAutospacing="1" w:afterAutospacing="1"/>
            </w:pPr>
            <w:r>
              <w:rPr>
                <w:rFonts w:ascii="Arial" w:hAnsi="Arial"/>
                <w:color w:val="25396E"/>
                <w:sz w:val="16"/>
              </w:rPr>
              <w:t>Total Labor Hours</w:t>
            </w:r>
          </w:p>
        </w:tc>
        <w:tc>
          <w:tcPr>
            <w:tcW w:w="810" w:type="dxa"/>
            <w:vAlign w:val="center"/>
          </w:tcPr>
          <w:p w14:paraId="3D4AD3B8"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7AA9187A" w14:textId="77777777" w:rsidR="00A4199D" w:rsidRDefault="000B6150">
            <w:pPr>
              <w:spacing w:beforeAutospacing="1" w:afterAutospacing="1"/>
              <w:jc w:val="right"/>
            </w:pPr>
            <w:r>
              <w:rPr>
                <w:rFonts w:ascii="Arial" w:hAnsi="Arial"/>
                <w:color w:val="000000"/>
                <w:sz w:val="16"/>
              </w:rPr>
              <w:t>0</w:t>
            </w:r>
          </w:p>
        </w:tc>
        <w:tc>
          <w:tcPr>
            <w:tcW w:w="720" w:type="dxa"/>
            <w:vAlign w:val="center"/>
          </w:tcPr>
          <w:p w14:paraId="441CE9F8"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2448AD6E"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133222BD" w14:textId="77777777" w:rsidR="00A4199D" w:rsidRDefault="000B6150">
            <w:pPr>
              <w:spacing w:beforeAutospacing="1" w:afterAutospacing="1"/>
              <w:jc w:val="right"/>
            </w:pPr>
            <w:r>
              <w:rPr>
                <w:rFonts w:ascii="Arial" w:hAnsi="Arial"/>
                <w:color w:val="000000"/>
                <w:sz w:val="16"/>
              </w:rPr>
              <w:t xml:space="preserve"> </w:t>
            </w:r>
          </w:p>
        </w:tc>
      </w:tr>
      <w:tr w:rsidR="00A4199D" w14:paraId="1DEFA5E7" w14:textId="77777777">
        <w:trPr>
          <w:cantSplit/>
        </w:trPr>
        <w:tc>
          <w:tcPr>
            <w:tcW w:w="5490" w:type="dxa"/>
            <w:vAlign w:val="center"/>
          </w:tcPr>
          <w:p w14:paraId="06730C70" w14:textId="77777777" w:rsidR="00A4199D" w:rsidRDefault="000B6150">
            <w:pPr>
              <w:spacing w:beforeAutospacing="1" w:afterAutospacing="1"/>
            </w:pPr>
            <w:r>
              <w:rPr>
                <w:rFonts w:ascii="Arial" w:hAnsi="Arial"/>
                <w:color w:val="25396E"/>
                <w:sz w:val="16"/>
              </w:rPr>
              <w:t>Total Section 3 Worker Hours</w:t>
            </w:r>
          </w:p>
        </w:tc>
        <w:tc>
          <w:tcPr>
            <w:tcW w:w="810" w:type="dxa"/>
            <w:vAlign w:val="center"/>
          </w:tcPr>
          <w:p w14:paraId="06B0DCF6"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4A198CA7" w14:textId="77777777" w:rsidR="00A4199D" w:rsidRDefault="000B6150">
            <w:pPr>
              <w:spacing w:beforeAutospacing="1" w:afterAutospacing="1"/>
              <w:jc w:val="right"/>
            </w:pPr>
            <w:r>
              <w:rPr>
                <w:rFonts w:ascii="Arial" w:hAnsi="Arial"/>
                <w:color w:val="000000"/>
                <w:sz w:val="16"/>
              </w:rPr>
              <w:t>0</w:t>
            </w:r>
          </w:p>
        </w:tc>
        <w:tc>
          <w:tcPr>
            <w:tcW w:w="720" w:type="dxa"/>
            <w:vAlign w:val="center"/>
          </w:tcPr>
          <w:p w14:paraId="5135C0DA"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16345166"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7023869A" w14:textId="77777777" w:rsidR="00A4199D" w:rsidRDefault="000B6150">
            <w:pPr>
              <w:spacing w:beforeAutospacing="1" w:afterAutospacing="1"/>
              <w:jc w:val="right"/>
            </w:pPr>
            <w:r>
              <w:rPr>
                <w:rFonts w:ascii="Arial" w:hAnsi="Arial"/>
                <w:color w:val="000000"/>
                <w:sz w:val="16"/>
              </w:rPr>
              <w:t xml:space="preserve"> </w:t>
            </w:r>
          </w:p>
        </w:tc>
      </w:tr>
      <w:tr w:rsidR="00A4199D" w14:paraId="6098ACD2" w14:textId="77777777">
        <w:trPr>
          <w:cantSplit/>
        </w:trPr>
        <w:tc>
          <w:tcPr>
            <w:tcW w:w="5490" w:type="dxa"/>
            <w:vAlign w:val="center"/>
          </w:tcPr>
          <w:p w14:paraId="0DBC4E63" w14:textId="77777777" w:rsidR="00A4199D" w:rsidRDefault="000B6150">
            <w:pPr>
              <w:spacing w:beforeAutospacing="1" w:afterAutospacing="1"/>
            </w:pPr>
            <w:r>
              <w:rPr>
                <w:rFonts w:ascii="Arial" w:hAnsi="Arial"/>
                <w:color w:val="25396E"/>
                <w:sz w:val="16"/>
              </w:rPr>
              <w:t>Total Targeted Section 3 Worker Hours</w:t>
            </w:r>
          </w:p>
        </w:tc>
        <w:tc>
          <w:tcPr>
            <w:tcW w:w="810" w:type="dxa"/>
            <w:vAlign w:val="center"/>
          </w:tcPr>
          <w:p w14:paraId="0C17D9AD"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0A066DAF" w14:textId="77777777" w:rsidR="00A4199D" w:rsidRDefault="000B6150">
            <w:pPr>
              <w:spacing w:beforeAutospacing="1" w:afterAutospacing="1"/>
              <w:jc w:val="right"/>
            </w:pPr>
            <w:r>
              <w:rPr>
                <w:rFonts w:ascii="Arial" w:hAnsi="Arial"/>
                <w:color w:val="000000"/>
                <w:sz w:val="16"/>
              </w:rPr>
              <w:t>0</w:t>
            </w:r>
          </w:p>
        </w:tc>
        <w:tc>
          <w:tcPr>
            <w:tcW w:w="720" w:type="dxa"/>
            <w:vAlign w:val="center"/>
          </w:tcPr>
          <w:p w14:paraId="33AA9004"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3163C132"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AF7698A" w14:textId="77777777" w:rsidR="00A4199D" w:rsidRDefault="000B6150">
            <w:pPr>
              <w:spacing w:beforeAutospacing="1" w:afterAutospacing="1"/>
              <w:jc w:val="right"/>
            </w:pPr>
            <w:r>
              <w:rPr>
                <w:rFonts w:ascii="Arial" w:hAnsi="Arial"/>
                <w:color w:val="000000"/>
                <w:sz w:val="16"/>
              </w:rPr>
              <w:t xml:space="preserve"> </w:t>
            </w:r>
          </w:p>
        </w:tc>
      </w:tr>
    </w:tbl>
    <w:p w14:paraId="5C2ADE63"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Total Labor Hours</w:t>
      </w:r>
    </w:p>
    <w:p w14:paraId="73A25D98" w14:textId="77777777" w:rsidR="00A4199D" w:rsidRDefault="00A4199D">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A4199D" w14:paraId="62E68F1E" w14:textId="77777777">
        <w:trPr>
          <w:cantSplit/>
        </w:trPr>
        <w:tc>
          <w:tcPr>
            <w:tcW w:w="5490" w:type="dxa"/>
          </w:tcPr>
          <w:p w14:paraId="36ED840F" w14:textId="77777777" w:rsidR="00A4199D" w:rsidRDefault="000B6150">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14:paraId="50F00665" w14:textId="77777777" w:rsidR="00A4199D" w:rsidRDefault="000B6150">
            <w:pPr>
              <w:keepNext/>
              <w:widowControl w:val="0"/>
              <w:spacing w:after="0" w:line="240" w:lineRule="auto"/>
              <w:jc w:val="center"/>
              <w:rPr>
                <w:b/>
              </w:rPr>
            </w:pPr>
            <w:r>
              <w:rPr>
                <w:b/>
              </w:rPr>
              <w:t>CDBG</w:t>
            </w:r>
          </w:p>
        </w:tc>
        <w:tc>
          <w:tcPr>
            <w:tcW w:w="900" w:type="dxa"/>
          </w:tcPr>
          <w:p w14:paraId="23322D74" w14:textId="77777777" w:rsidR="00A4199D" w:rsidRDefault="000B6150">
            <w:pPr>
              <w:keepNext/>
              <w:widowControl w:val="0"/>
              <w:spacing w:after="0" w:line="240" w:lineRule="auto"/>
              <w:jc w:val="center"/>
              <w:rPr>
                <w:b/>
              </w:rPr>
            </w:pPr>
            <w:r>
              <w:rPr>
                <w:b/>
              </w:rPr>
              <w:t>HOME</w:t>
            </w:r>
          </w:p>
        </w:tc>
        <w:tc>
          <w:tcPr>
            <w:tcW w:w="720" w:type="dxa"/>
          </w:tcPr>
          <w:p w14:paraId="57069009" w14:textId="77777777" w:rsidR="00A4199D" w:rsidRDefault="000B6150">
            <w:pPr>
              <w:keepNext/>
              <w:widowControl w:val="0"/>
              <w:spacing w:after="0" w:line="240" w:lineRule="auto"/>
              <w:rPr>
                <w:b/>
              </w:rPr>
            </w:pPr>
            <w:r>
              <w:rPr>
                <w:b/>
              </w:rPr>
              <w:t>ESG</w:t>
            </w:r>
          </w:p>
        </w:tc>
        <w:tc>
          <w:tcPr>
            <w:tcW w:w="990" w:type="dxa"/>
          </w:tcPr>
          <w:p w14:paraId="31D07B64" w14:textId="77777777" w:rsidR="00A4199D" w:rsidRDefault="000B6150">
            <w:pPr>
              <w:keepNext/>
              <w:widowControl w:val="0"/>
              <w:spacing w:after="0" w:line="240" w:lineRule="auto"/>
              <w:jc w:val="center"/>
              <w:rPr>
                <w:b/>
              </w:rPr>
            </w:pPr>
            <w:r>
              <w:rPr>
                <w:b/>
              </w:rPr>
              <w:t>HOPWA</w:t>
            </w:r>
          </w:p>
        </w:tc>
        <w:tc>
          <w:tcPr>
            <w:tcW w:w="720" w:type="dxa"/>
          </w:tcPr>
          <w:p w14:paraId="261A882B" w14:textId="77777777" w:rsidR="00A4199D" w:rsidRDefault="000B6150">
            <w:pPr>
              <w:keepNext/>
              <w:widowControl w:val="0"/>
              <w:spacing w:after="0" w:line="240" w:lineRule="auto"/>
              <w:jc w:val="center"/>
              <w:rPr>
                <w:b/>
              </w:rPr>
            </w:pPr>
            <w:r>
              <w:rPr>
                <w:b/>
              </w:rPr>
              <w:t>HTF</w:t>
            </w:r>
          </w:p>
        </w:tc>
      </w:tr>
      <w:tr w:rsidR="00A4199D" w14:paraId="148BB462" w14:textId="77777777">
        <w:trPr>
          <w:cantSplit/>
        </w:trPr>
        <w:tc>
          <w:tcPr>
            <w:tcW w:w="5490" w:type="dxa"/>
            <w:vAlign w:val="center"/>
          </w:tcPr>
          <w:p w14:paraId="420D6643" w14:textId="77777777" w:rsidR="00A4199D" w:rsidRDefault="000B6150">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14:paraId="1718F58E"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3390FA90"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BE94612"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1F31FFA0"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C2863DB" w14:textId="77777777" w:rsidR="00A4199D" w:rsidRDefault="000B6150">
            <w:pPr>
              <w:spacing w:beforeAutospacing="1" w:afterAutospacing="1"/>
              <w:jc w:val="right"/>
            </w:pPr>
            <w:r>
              <w:rPr>
                <w:rFonts w:ascii="Arial" w:hAnsi="Arial"/>
                <w:color w:val="000000"/>
                <w:sz w:val="16"/>
              </w:rPr>
              <w:t xml:space="preserve"> </w:t>
            </w:r>
          </w:p>
        </w:tc>
      </w:tr>
      <w:tr w:rsidR="00A4199D" w14:paraId="08341752" w14:textId="77777777">
        <w:trPr>
          <w:cantSplit/>
        </w:trPr>
        <w:tc>
          <w:tcPr>
            <w:tcW w:w="5490" w:type="dxa"/>
            <w:vAlign w:val="center"/>
          </w:tcPr>
          <w:p w14:paraId="4E93D5B0" w14:textId="77777777" w:rsidR="00A4199D" w:rsidRDefault="000B6150">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14:paraId="1879A2B9"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0D644842"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B34D687"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1516EEFC"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2BDAE947" w14:textId="77777777" w:rsidR="00A4199D" w:rsidRDefault="000B6150">
            <w:pPr>
              <w:spacing w:beforeAutospacing="1" w:afterAutospacing="1"/>
              <w:jc w:val="right"/>
            </w:pPr>
            <w:r>
              <w:rPr>
                <w:rFonts w:ascii="Arial" w:hAnsi="Arial"/>
                <w:color w:val="000000"/>
                <w:sz w:val="16"/>
              </w:rPr>
              <w:t xml:space="preserve"> </w:t>
            </w:r>
          </w:p>
        </w:tc>
      </w:tr>
      <w:tr w:rsidR="00A4199D" w14:paraId="19A8034F" w14:textId="77777777">
        <w:trPr>
          <w:cantSplit/>
        </w:trPr>
        <w:tc>
          <w:tcPr>
            <w:tcW w:w="5490" w:type="dxa"/>
            <w:vAlign w:val="center"/>
          </w:tcPr>
          <w:p w14:paraId="516F660D" w14:textId="77777777" w:rsidR="00A4199D" w:rsidRDefault="000B6150">
            <w:pPr>
              <w:spacing w:beforeAutospacing="1" w:afterAutospacing="1"/>
            </w:pPr>
            <w:r>
              <w:rPr>
                <w:rFonts w:ascii="Arial" w:hAnsi="Arial"/>
                <w:color w:val="25396E"/>
                <w:sz w:val="16"/>
              </w:rPr>
              <w:t>Direct, on-the job training (including apprenticeships).</w:t>
            </w:r>
          </w:p>
        </w:tc>
        <w:tc>
          <w:tcPr>
            <w:tcW w:w="810" w:type="dxa"/>
            <w:vAlign w:val="center"/>
          </w:tcPr>
          <w:p w14:paraId="39AAE294"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6BC32A25"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3934BA3D"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36D9861C"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1FAB2BE" w14:textId="77777777" w:rsidR="00A4199D" w:rsidRDefault="000B6150">
            <w:pPr>
              <w:spacing w:beforeAutospacing="1" w:afterAutospacing="1"/>
              <w:jc w:val="right"/>
            </w:pPr>
            <w:r>
              <w:rPr>
                <w:rFonts w:ascii="Arial" w:hAnsi="Arial"/>
                <w:color w:val="000000"/>
                <w:sz w:val="16"/>
              </w:rPr>
              <w:t xml:space="preserve"> </w:t>
            </w:r>
          </w:p>
        </w:tc>
      </w:tr>
      <w:tr w:rsidR="00A4199D" w14:paraId="44CA9FD0" w14:textId="77777777">
        <w:trPr>
          <w:cantSplit/>
        </w:trPr>
        <w:tc>
          <w:tcPr>
            <w:tcW w:w="5490" w:type="dxa"/>
            <w:vAlign w:val="center"/>
          </w:tcPr>
          <w:p w14:paraId="5D93B0D5" w14:textId="77777777" w:rsidR="00A4199D" w:rsidRDefault="000B6150">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14:paraId="05F3D1FF"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75CBC55A"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255F03DC"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4923D3A2"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7E7AB6FA" w14:textId="77777777" w:rsidR="00A4199D" w:rsidRDefault="000B6150">
            <w:pPr>
              <w:spacing w:beforeAutospacing="1" w:afterAutospacing="1"/>
              <w:jc w:val="right"/>
            </w:pPr>
            <w:r>
              <w:rPr>
                <w:rFonts w:ascii="Arial" w:hAnsi="Arial"/>
                <w:color w:val="000000"/>
                <w:sz w:val="16"/>
              </w:rPr>
              <w:t xml:space="preserve"> </w:t>
            </w:r>
          </w:p>
        </w:tc>
      </w:tr>
      <w:tr w:rsidR="00A4199D" w14:paraId="2F7145FB" w14:textId="77777777">
        <w:trPr>
          <w:cantSplit/>
        </w:trPr>
        <w:tc>
          <w:tcPr>
            <w:tcW w:w="5490" w:type="dxa"/>
            <w:vAlign w:val="center"/>
          </w:tcPr>
          <w:p w14:paraId="2C61C64E" w14:textId="77777777" w:rsidR="00A4199D" w:rsidRDefault="000B6150">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14:paraId="3E016CB6"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57B45BCE"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3D32D7EF"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6292CD74"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34E0CEFB" w14:textId="77777777" w:rsidR="00A4199D" w:rsidRDefault="000B6150">
            <w:pPr>
              <w:spacing w:beforeAutospacing="1" w:afterAutospacing="1"/>
              <w:jc w:val="right"/>
            </w:pPr>
            <w:r>
              <w:rPr>
                <w:rFonts w:ascii="Arial" w:hAnsi="Arial"/>
                <w:color w:val="000000"/>
                <w:sz w:val="16"/>
              </w:rPr>
              <w:t xml:space="preserve"> </w:t>
            </w:r>
          </w:p>
        </w:tc>
      </w:tr>
      <w:tr w:rsidR="00A4199D" w14:paraId="1E3EDA21" w14:textId="77777777">
        <w:trPr>
          <w:cantSplit/>
        </w:trPr>
        <w:tc>
          <w:tcPr>
            <w:tcW w:w="5490" w:type="dxa"/>
            <w:vAlign w:val="center"/>
          </w:tcPr>
          <w:p w14:paraId="27967D03" w14:textId="77777777" w:rsidR="00A4199D" w:rsidRDefault="000B6150">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14:paraId="534692DD"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557CF9A8"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368285E9"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48581A5B"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76F7DF4F" w14:textId="77777777" w:rsidR="00A4199D" w:rsidRDefault="000B6150">
            <w:pPr>
              <w:spacing w:beforeAutospacing="1" w:afterAutospacing="1"/>
              <w:jc w:val="right"/>
            </w:pPr>
            <w:r>
              <w:rPr>
                <w:rFonts w:ascii="Arial" w:hAnsi="Arial"/>
                <w:color w:val="000000"/>
                <w:sz w:val="16"/>
              </w:rPr>
              <w:t xml:space="preserve"> </w:t>
            </w:r>
          </w:p>
        </w:tc>
      </w:tr>
      <w:tr w:rsidR="00A4199D" w14:paraId="11708C2D" w14:textId="77777777">
        <w:trPr>
          <w:cantSplit/>
        </w:trPr>
        <w:tc>
          <w:tcPr>
            <w:tcW w:w="5490" w:type="dxa"/>
            <w:vAlign w:val="center"/>
          </w:tcPr>
          <w:p w14:paraId="6C42E459" w14:textId="77777777" w:rsidR="00A4199D" w:rsidRDefault="000B6150">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14:paraId="5D3F2BA8"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5B7AB9A6"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0E310B8B"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0A949F1A"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02A8667D" w14:textId="77777777" w:rsidR="00A4199D" w:rsidRDefault="000B6150">
            <w:pPr>
              <w:spacing w:beforeAutospacing="1" w:afterAutospacing="1"/>
              <w:jc w:val="right"/>
            </w:pPr>
            <w:r>
              <w:rPr>
                <w:rFonts w:ascii="Arial" w:hAnsi="Arial"/>
                <w:color w:val="000000"/>
                <w:sz w:val="16"/>
              </w:rPr>
              <w:t xml:space="preserve"> </w:t>
            </w:r>
          </w:p>
        </w:tc>
      </w:tr>
      <w:tr w:rsidR="00A4199D" w14:paraId="6E57617C" w14:textId="77777777">
        <w:trPr>
          <w:cantSplit/>
        </w:trPr>
        <w:tc>
          <w:tcPr>
            <w:tcW w:w="5490" w:type="dxa"/>
            <w:vAlign w:val="center"/>
          </w:tcPr>
          <w:p w14:paraId="25BE47C2" w14:textId="77777777" w:rsidR="00A4199D" w:rsidRDefault="000B6150">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14:paraId="0FD3AACE"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464C65B2"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7BE634BA"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4981C652"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12A21048" w14:textId="77777777" w:rsidR="00A4199D" w:rsidRDefault="000B6150">
            <w:pPr>
              <w:spacing w:beforeAutospacing="1" w:afterAutospacing="1"/>
              <w:jc w:val="right"/>
            </w:pPr>
            <w:r>
              <w:rPr>
                <w:rFonts w:ascii="Arial" w:hAnsi="Arial"/>
                <w:color w:val="000000"/>
                <w:sz w:val="16"/>
              </w:rPr>
              <w:t xml:space="preserve"> </w:t>
            </w:r>
          </w:p>
        </w:tc>
      </w:tr>
      <w:tr w:rsidR="00A4199D" w14:paraId="16AECD4D" w14:textId="77777777">
        <w:trPr>
          <w:cantSplit/>
        </w:trPr>
        <w:tc>
          <w:tcPr>
            <w:tcW w:w="5490" w:type="dxa"/>
            <w:vAlign w:val="center"/>
          </w:tcPr>
          <w:p w14:paraId="2943CF41" w14:textId="77777777" w:rsidR="00A4199D" w:rsidRDefault="000B6150">
            <w:pPr>
              <w:spacing w:beforeAutospacing="1" w:afterAutospacing="1"/>
            </w:pPr>
            <w:r>
              <w:rPr>
                <w:rFonts w:ascii="Arial" w:hAnsi="Arial"/>
                <w:color w:val="25396E"/>
                <w:sz w:val="16"/>
              </w:rPr>
              <w:t xml:space="preserve">Provided or connected residents with assistance in seeking employment including: drafting </w:t>
            </w:r>
            <w:proofErr w:type="spellStart"/>
            <w:proofErr w:type="gramStart"/>
            <w:r>
              <w:rPr>
                <w:rFonts w:ascii="Arial" w:hAnsi="Arial"/>
                <w:color w:val="25396E"/>
                <w:sz w:val="16"/>
              </w:rPr>
              <w:t>resumes,preparing</w:t>
            </w:r>
            <w:proofErr w:type="spellEnd"/>
            <w:proofErr w:type="gramEnd"/>
            <w:r>
              <w:rPr>
                <w:rFonts w:ascii="Arial" w:hAnsi="Arial"/>
                <w:color w:val="25396E"/>
                <w:sz w:val="16"/>
              </w:rPr>
              <w:t xml:space="preserve"> for interviews, finding job opportunities</w:t>
            </w:r>
            <w:proofErr w:type="gramStart"/>
            <w:r>
              <w:rPr>
                <w:rFonts w:ascii="Arial" w:hAnsi="Arial"/>
                <w:color w:val="25396E"/>
                <w:sz w:val="16"/>
              </w:rPr>
              <w:t>, connecting</w:t>
            </w:r>
            <w:proofErr w:type="gramEnd"/>
            <w:r>
              <w:rPr>
                <w:rFonts w:ascii="Arial" w:hAnsi="Arial"/>
                <w:color w:val="25396E"/>
                <w:sz w:val="16"/>
              </w:rPr>
              <w:t xml:space="preserve"> residents to job placement services.</w:t>
            </w:r>
          </w:p>
        </w:tc>
        <w:tc>
          <w:tcPr>
            <w:tcW w:w="810" w:type="dxa"/>
            <w:vAlign w:val="center"/>
          </w:tcPr>
          <w:p w14:paraId="2972B82C"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3110355F"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5DC38A1"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7C755E63"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3DB2FD5E" w14:textId="77777777" w:rsidR="00A4199D" w:rsidRDefault="000B6150">
            <w:pPr>
              <w:spacing w:beforeAutospacing="1" w:afterAutospacing="1"/>
              <w:jc w:val="right"/>
            </w:pPr>
            <w:r>
              <w:rPr>
                <w:rFonts w:ascii="Arial" w:hAnsi="Arial"/>
                <w:color w:val="000000"/>
                <w:sz w:val="16"/>
              </w:rPr>
              <w:t xml:space="preserve"> </w:t>
            </w:r>
          </w:p>
        </w:tc>
      </w:tr>
      <w:tr w:rsidR="00A4199D" w14:paraId="7130AD27" w14:textId="77777777">
        <w:trPr>
          <w:cantSplit/>
        </w:trPr>
        <w:tc>
          <w:tcPr>
            <w:tcW w:w="5490" w:type="dxa"/>
            <w:vAlign w:val="center"/>
          </w:tcPr>
          <w:p w14:paraId="4B06C7C2" w14:textId="77777777" w:rsidR="00A4199D" w:rsidRDefault="000B6150">
            <w:pPr>
              <w:spacing w:beforeAutospacing="1" w:afterAutospacing="1"/>
            </w:pPr>
            <w:r>
              <w:rPr>
                <w:rFonts w:ascii="Arial" w:hAnsi="Arial"/>
                <w:color w:val="25396E"/>
                <w:sz w:val="16"/>
              </w:rPr>
              <w:t>Held one or more job fairs.</w:t>
            </w:r>
          </w:p>
        </w:tc>
        <w:tc>
          <w:tcPr>
            <w:tcW w:w="810" w:type="dxa"/>
            <w:vAlign w:val="center"/>
          </w:tcPr>
          <w:p w14:paraId="5E2A2D93"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132340EA"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4A7E02AF"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5F39DDD2"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49FFB0DB" w14:textId="77777777" w:rsidR="00A4199D" w:rsidRDefault="000B6150">
            <w:pPr>
              <w:spacing w:beforeAutospacing="1" w:afterAutospacing="1"/>
              <w:jc w:val="right"/>
            </w:pPr>
            <w:r>
              <w:rPr>
                <w:rFonts w:ascii="Arial" w:hAnsi="Arial"/>
                <w:color w:val="000000"/>
                <w:sz w:val="16"/>
              </w:rPr>
              <w:t xml:space="preserve"> </w:t>
            </w:r>
          </w:p>
        </w:tc>
      </w:tr>
      <w:tr w:rsidR="00A4199D" w14:paraId="54F86B9B" w14:textId="77777777">
        <w:trPr>
          <w:cantSplit/>
        </w:trPr>
        <w:tc>
          <w:tcPr>
            <w:tcW w:w="5490" w:type="dxa"/>
            <w:vAlign w:val="center"/>
          </w:tcPr>
          <w:p w14:paraId="736FAB13" w14:textId="77777777" w:rsidR="00A4199D" w:rsidRDefault="000B6150">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14:paraId="1E02E620"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70431497"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879E32F"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570D6581"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37FBE120" w14:textId="77777777" w:rsidR="00A4199D" w:rsidRDefault="000B6150">
            <w:pPr>
              <w:spacing w:beforeAutospacing="1" w:afterAutospacing="1"/>
              <w:jc w:val="right"/>
            </w:pPr>
            <w:r>
              <w:rPr>
                <w:rFonts w:ascii="Arial" w:hAnsi="Arial"/>
                <w:color w:val="000000"/>
                <w:sz w:val="16"/>
              </w:rPr>
              <w:t xml:space="preserve"> </w:t>
            </w:r>
          </w:p>
        </w:tc>
      </w:tr>
      <w:tr w:rsidR="00A4199D" w14:paraId="08AB62CA" w14:textId="77777777">
        <w:trPr>
          <w:cantSplit/>
        </w:trPr>
        <w:tc>
          <w:tcPr>
            <w:tcW w:w="5490" w:type="dxa"/>
            <w:vAlign w:val="center"/>
          </w:tcPr>
          <w:p w14:paraId="5944F120" w14:textId="77777777" w:rsidR="00A4199D" w:rsidRDefault="000B6150">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14:paraId="44E32DF8"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5A6758A9"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49C135DE"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143C63C3"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6BCBE8B5" w14:textId="77777777" w:rsidR="00A4199D" w:rsidRDefault="000B6150">
            <w:pPr>
              <w:spacing w:beforeAutospacing="1" w:afterAutospacing="1"/>
              <w:jc w:val="right"/>
            </w:pPr>
            <w:r>
              <w:rPr>
                <w:rFonts w:ascii="Arial" w:hAnsi="Arial"/>
                <w:color w:val="000000"/>
                <w:sz w:val="16"/>
              </w:rPr>
              <w:t xml:space="preserve"> </w:t>
            </w:r>
          </w:p>
        </w:tc>
      </w:tr>
      <w:tr w:rsidR="00A4199D" w14:paraId="6784341E" w14:textId="77777777">
        <w:trPr>
          <w:cantSplit/>
        </w:trPr>
        <w:tc>
          <w:tcPr>
            <w:tcW w:w="5490" w:type="dxa"/>
            <w:vAlign w:val="center"/>
          </w:tcPr>
          <w:p w14:paraId="31F99CC0" w14:textId="77777777" w:rsidR="00A4199D" w:rsidRDefault="000B6150">
            <w:pPr>
              <w:spacing w:beforeAutospacing="1" w:afterAutospacing="1"/>
            </w:pPr>
            <w:r>
              <w:rPr>
                <w:rFonts w:ascii="Arial" w:hAnsi="Arial"/>
                <w:color w:val="25396E"/>
                <w:sz w:val="16"/>
              </w:rPr>
              <w:t xml:space="preserve">Assisted residents with finding </w:t>
            </w:r>
            <w:proofErr w:type="gramStart"/>
            <w:r>
              <w:rPr>
                <w:rFonts w:ascii="Arial" w:hAnsi="Arial"/>
                <w:color w:val="25396E"/>
                <w:sz w:val="16"/>
              </w:rPr>
              <w:t>child care</w:t>
            </w:r>
            <w:proofErr w:type="gramEnd"/>
            <w:r>
              <w:rPr>
                <w:rFonts w:ascii="Arial" w:hAnsi="Arial"/>
                <w:color w:val="25396E"/>
                <w:sz w:val="16"/>
              </w:rPr>
              <w:t>.</w:t>
            </w:r>
          </w:p>
        </w:tc>
        <w:tc>
          <w:tcPr>
            <w:tcW w:w="810" w:type="dxa"/>
            <w:vAlign w:val="center"/>
          </w:tcPr>
          <w:p w14:paraId="4FFF4286"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0EA7E12E"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97654A9"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2B9AC504"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6B84FA53" w14:textId="77777777" w:rsidR="00A4199D" w:rsidRDefault="000B6150">
            <w:pPr>
              <w:spacing w:beforeAutospacing="1" w:afterAutospacing="1"/>
              <w:jc w:val="right"/>
            </w:pPr>
            <w:r>
              <w:rPr>
                <w:rFonts w:ascii="Arial" w:hAnsi="Arial"/>
                <w:color w:val="000000"/>
                <w:sz w:val="16"/>
              </w:rPr>
              <w:t xml:space="preserve"> </w:t>
            </w:r>
          </w:p>
        </w:tc>
      </w:tr>
      <w:tr w:rsidR="00A4199D" w14:paraId="2E38FC82" w14:textId="77777777">
        <w:trPr>
          <w:cantSplit/>
        </w:trPr>
        <w:tc>
          <w:tcPr>
            <w:tcW w:w="5490" w:type="dxa"/>
            <w:vAlign w:val="center"/>
          </w:tcPr>
          <w:p w14:paraId="55D04760" w14:textId="77777777" w:rsidR="00A4199D" w:rsidRDefault="000B6150">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community college or a four year educational institution.</w:t>
            </w:r>
          </w:p>
        </w:tc>
        <w:tc>
          <w:tcPr>
            <w:tcW w:w="810" w:type="dxa"/>
            <w:vAlign w:val="center"/>
          </w:tcPr>
          <w:p w14:paraId="324F1DF8"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203D82BF"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72CD9015"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531D6665"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29EE18C5" w14:textId="77777777" w:rsidR="00A4199D" w:rsidRDefault="000B6150">
            <w:pPr>
              <w:spacing w:beforeAutospacing="1" w:afterAutospacing="1"/>
              <w:jc w:val="right"/>
            </w:pPr>
            <w:r>
              <w:rPr>
                <w:rFonts w:ascii="Arial" w:hAnsi="Arial"/>
                <w:color w:val="000000"/>
                <w:sz w:val="16"/>
              </w:rPr>
              <w:t xml:space="preserve"> </w:t>
            </w:r>
          </w:p>
        </w:tc>
      </w:tr>
      <w:tr w:rsidR="00A4199D" w14:paraId="5BDF916A" w14:textId="77777777">
        <w:trPr>
          <w:cantSplit/>
        </w:trPr>
        <w:tc>
          <w:tcPr>
            <w:tcW w:w="5490" w:type="dxa"/>
            <w:vAlign w:val="center"/>
          </w:tcPr>
          <w:p w14:paraId="5B3BD0E1" w14:textId="77777777" w:rsidR="00A4199D" w:rsidRDefault="000B6150">
            <w:pPr>
              <w:spacing w:beforeAutospacing="1" w:afterAutospacing="1"/>
            </w:pPr>
            <w:r>
              <w:rPr>
                <w:rFonts w:ascii="Arial" w:hAnsi="Arial"/>
                <w:color w:val="25396E"/>
                <w:sz w:val="16"/>
              </w:rPr>
              <w:t xml:space="preserve">Assisted residents to apply </w:t>
            </w:r>
            <w:proofErr w:type="gramStart"/>
            <w:r>
              <w:rPr>
                <w:rFonts w:ascii="Arial" w:hAnsi="Arial"/>
                <w:color w:val="25396E"/>
                <w:sz w:val="16"/>
              </w:rPr>
              <w:t>for, or</w:t>
            </w:r>
            <w:proofErr w:type="gramEnd"/>
            <w:r>
              <w:rPr>
                <w:rFonts w:ascii="Arial" w:hAnsi="Arial"/>
                <w:color w:val="25396E"/>
                <w:sz w:val="16"/>
              </w:rPr>
              <w:t xml:space="preserve"> attend vocational/technical training.</w:t>
            </w:r>
          </w:p>
        </w:tc>
        <w:tc>
          <w:tcPr>
            <w:tcW w:w="810" w:type="dxa"/>
            <w:vAlign w:val="center"/>
          </w:tcPr>
          <w:p w14:paraId="20C936C9"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624777D6"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6ACD3D22"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5EAF2CDF"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01595A08" w14:textId="77777777" w:rsidR="00A4199D" w:rsidRDefault="000B6150">
            <w:pPr>
              <w:spacing w:beforeAutospacing="1" w:afterAutospacing="1"/>
              <w:jc w:val="right"/>
            </w:pPr>
            <w:r>
              <w:rPr>
                <w:rFonts w:ascii="Arial" w:hAnsi="Arial"/>
                <w:color w:val="000000"/>
                <w:sz w:val="16"/>
              </w:rPr>
              <w:t xml:space="preserve"> </w:t>
            </w:r>
          </w:p>
        </w:tc>
      </w:tr>
      <w:tr w:rsidR="00A4199D" w14:paraId="46BA1648" w14:textId="77777777">
        <w:trPr>
          <w:cantSplit/>
        </w:trPr>
        <w:tc>
          <w:tcPr>
            <w:tcW w:w="5490" w:type="dxa"/>
            <w:vAlign w:val="center"/>
          </w:tcPr>
          <w:p w14:paraId="2ADA654E" w14:textId="77777777" w:rsidR="00A4199D" w:rsidRDefault="000B6150">
            <w:pPr>
              <w:spacing w:beforeAutospacing="1" w:afterAutospacing="1"/>
            </w:pPr>
            <w:r>
              <w:rPr>
                <w:rFonts w:ascii="Arial" w:hAnsi="Arial"/>
                <w:color w:val="25396E"/>
                <w:sz w:val="16"/>
              </w:rPr>
              <w:t>Assisted residents to obtain financial literacy training and/or coaching.</w:t>
            </w:r>
          </w:p>
        </w:tc>
        <w:tc>
          <w:tcPr>
            <w:tcW w:w="810" w:type="dxa"/>
            <w:vAlign w:val="center"/>
          </w:tcPr>
          <w:p w14:paraId="176D1F74"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505C6EDF"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051630AA"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3F55A075"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2F972E8" w14:textId="77777777" w:rsidR="00A4199D" w:rsidRDefault="000B6150">
            <w:pPr>
              <w:spacing w:beforeAutospacing="1" w:afterAutospacing="1"/>
              <w:jc w:val="right"/>
            </w:pPr>
            <w:r>
              <w:rPr>
                <w:rFonts w:ascii="Arial" w:hAnsi="Arial"/>
                <w:color w:val="000000"/>
                <w:sz w:val="16"/>
              </w:rPr>
              <w:t xml:space="preserve"> </w:t>
            </w:r>
          </w:p>
        </w:tc>
      </w:tr>
      <w:tr w:rsidR="00A4199D" w14:paraId="0E08C228" w14:textId="77777777">
        <w:trPr>
          <w:cantSplit/>
        </w:trPr>
        <w:tc>
          <w:tcPr>
            <w:tcW w:w="5490" w:type="dxa"/>
            <w:vAlign w:val="center"/>
          </w:tcPr>
          <w:p w14:paraId="6BF5A67D" w14:textId="77777777" w:rsidR="00A4199D" w:rsidRDefault="000B6150">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14:paraId="4A00FD8C"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230BD2AE"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179E297E"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29AA76CE"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0B9C80E0" w14:textId="77777777" w:rsidR="00A4199D" w:rsidRDefault="000B6150">
            <w:pPr>
              <w:spacing w:beforeAutospacing="1" w:afterAutospacing="1"/>
              <w:jc w:val="right"/>
            </w:pPr>
            <w:r>
              <w:rPr>
                <w:rFonts w:ascii="Arial" w:hAnsi="Arial"/>
                <w:color w:val="000000"/>
                <w:sz w:val="16"/>
              </w:rPr>
              <w:t xml:space="preserve"> </w:t>
            </w:r>
          </w:p>
        </w:tc>
      </w:tr>
      <w:tr w:rsidR="00A4199D" w14:paraId="6861F12C" w14:textId="77777777">
        <w:trPr>
          <w:cantSplit/>
        </w:trPr>
        <w:tc>
          <w:tcPr>
            <w:tcW w:w="5490" w:type="dxa"/>
            <w:vAlign w:val="center"/>
          </w:tcPr>
          <w:p w14:paraId="010D3587" w14:textId="77777777" w:rsidR="00A4199D" w:rsidRDefault="000B6150">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14:paraId="72CB29F9"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77161C8E"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26527CEE"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458F8E5A"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2F54EF02" w14:textId="77777777" w:rsidR="00A4199D" w:rsidRDefault="000B6150">
            <w:pPr>
              <w:spacing w:beforeAutospacing="1" w:afterAutospacing="1"/>
              <w:jc w:val="right"/>
            </w:pPr>
            <w:r>
              <w:rPr>
                <w:rFonts w:ascii="Arial" w:hAnsi="Arial"/>
                <w:color w:val="000000"/>
                <w:sz w:val="16"/>
              </w:rPr>
              <w:t xml:space="preserve"> </w:t>
            </w:r>
          </w:p>
        </w:tc>
      </w:tr>
      <w:tr w:rsidR="00A4199D" w14:paraId="3EEB07AD" w14:textId="77777777">
        <w:trPr>
          <w:cantSplit/>
        </w:trPr>
        <w:tc>
          <w:tcPr>
            <w:tcW w:w="5490" w:type="dxa"/>
            <w:vAlign w:val="center"/>
          </w:tcPr>
          <w:p w14:paraId="106E0FD6" w14:textId="77777777" w:rsidR="00A4199D" w:rsidRDefault="000B6150">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14:paraId="696238F7"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78304CB8"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6FFC2BBF"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382736CC"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536E060D" w14:textId="77777777" w:rsidR="00A4199D" w:rsidRDefault="000B6150">
            <w:pPr>
              <w:spacing w:beforeAutospacing="1" w:afterAutospacing="1"/>
              <w:jc w:val="right"/>
            </w:pPr>
            <w:r>
              <w:rPr>
                <w:rFonts w:ascii="Arial" w:hAnsi="Arial"/>
                <w:color w:val="000000"/>
                <w:sz w:val="16"/>
              </w:rPr>
              <w:t xml:space="preserve"> </w:t>
            </w:r>
          </w:p>
        </w:tc>
      </w:tr>
      <w:tr w:rsidR="00A4199D" w14:paraId="2E4060C3" w14:textId="77777777">
        <w:trPr>
          <w:cantSplit/>
        </w:trPr>
        <w:tc>
          <w:tcPr>
            <w:tcW w:w="5490" w:type="dxa"/>
            <w:vAlign w:val="center"/>
          </w:tcPr>
          <w:p w14:paraId="5992415A" w14:textId="77777777" w:rsidR="00A4199D" w:rsidRDefault="000B6150">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14:paraId="5AE1FACD"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2A5F73E6"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2AEE07D6"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08AF68F3"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4C59DB56" w14:textId="77777777" w:rsidR="00A4199D" w:rsidRDefault="000B6150">
            <w:pPr>
              <w:spacing w:beforeAutospacing="1" w:afterAutospacing="1"/>
              <w:jc w:val="right"/>
            </w:pPr>
            <w:r>
              <w:rPr>
                <w:rFonts w:ascii="Arial" w:hAnsi="Arial"/>
                <w:color w:val="000000"/>
                <w:sz w:val="16"/>
              </w:rPr>
              <w:t xml:space="preserve"> </w:t>
            </w:r>
          </w:p>
        </w:tc>
      </w:tr>
      <w:tr w:rsidR="00A4199D" w14:paraId="57BB0C38" w14:textId="77777777">
        <w:trPr>
          <w:cantSplit/>
        </w:trPr>
        <w:tc>
          <w:tcPr>
            <w:tcW w:w="5490" w:type="dxa"/>
            <w:vAlign w:val="center"/>
          </w:tcPr>
          <w:p w14:paraId="76CCEF9B" w14:textId="77777777" w:rsidR="00A4199D" w:rsidRDefault="000B6150">
            <w:pPr>
              <w:spacing w:beforeAutospacing="1" w:afterAutospacing="1"/>
            </w:pPr>
            <w:r>
              <w:rPr>
                <w:rFonts w:ascii="Arial" w:hAnsi="Arial"/>
                <w:color w:val="25396E"/>
                <w:sz w:val="16"/>
              </w:rPr>
              <w:lastRenderedPageBreak/>
              <w:t>Other.</w:t>
            </w:r>
          </w:p>
        </w:tc>
        <w:tc>
          <w:tcPr>
            <w:tcW w:w="810" w:type="dxa"/>
            <w:vAlign w:val="center"/>
          </w:tcPr>
          <w:p w14:paraId="2F10F430" w14:textId="77777777" w:rsidR="00A4199D" w:rsidRDefault="000B6150">
            <w:pPr>
              <w:spacing w:beforeAutospacing="1" w:afterAutospacing="1"/>
              <w:jc w:val="right"/>
            </w:pPr>
            <w:r>
              <w:rPr>
                <w:rFonts w:ascii="Arial" w:hAnsi="Arial"/>
                <w:color w:val="000000"/>
                <w:sz w:val="16"/>
              </w:rPr>
              <w:t xml:space="preserve"> </w:t>
            </w:r>
          </w:p>
        </w:tc>
        <w:tc>
          <w:tcPr>
            <w:tcW w:w="900" w:type="dxa"/>
            <w:vAlign w:val="center"/>
          </w:tcPr>
          <w:p w14:paraId="3874980D"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6BF9F08E" w14:textId="77777777" w:rsidR="00A4199D" w:rsidRDefault="000B6150">
            <w:pPr>
              <w:spacing w:beforeAutospacing="1" w:afterAutospacing="1"/>
              <w:jc w:val="right"/>
            </w:pPr>
            <w:r>
              <w:rPr>
                <w:rFonts w:ascii="Arial" w:hAnsi="Arial"/>
                <w:color w:val="000000"/>
                <w:sz w:val="16"/>
              </w:rPr>
              <w:t xml:space="preserve"> </w:t>
            </w:r>
          </w:p>
        </w:tc>
        <w:tc>
          <w:tcPr>
            <w:tcW w:w="990" w:type="dxa"/>
            <w:vAlign w:val="center"/>
          </w:tcPr>
          <w:p w14:paraId="6E8E5C83" w14:textId="77777777" w:rsidR="00A4199D" w:rsidRDefault="000B6150">
            <w:pPr>
              <w:spacing w:beforeAutospacing="1" w:afterAutospacing="1"/>
              <w:jc w:val="right"/>
            </w:pPr>
            <w:r>
              <w:rPr>
                <w:rFonts w:ascii="Arial" w:hAnsi="Arial"/>
                <w:color w:val="000000"/>
                <w:sz w:val="16"/>
              </w:rPr>
              <w:t xml:space="preserve"> </w:t>
            </w:r>
          </w:p>
        </w:tc>
        <w:tc>
          <w:tcPr>
            <w:tcW w:w="720" w:type="dxa"/>
            <w:vAlign w:val="center"/>
          </w:tcPr>
          <w:p w14:paraId="66800134" w14:textId="77777777" w:rsidR="00A4199D" w:rsidRDefault="000B6150">
            <w:pPr>
              <w:spacing w:beforeAutospacing="1" w:afterAutospacing="1"/>
              <w:jc w:val="right"/>
            </w:pPr>
            <w:r>
              <w:rPr>
                <w:rFonts w:ascii="Arial" w:hAnsi="Arial"/>
                <w:color w:val="000000"/>
                <w:sz w:val="16"/>
              </w:rPr>
              <w:t xml:space="preserve"> </w:t>
            </w:r>
          </w:p>
        </w:tc>
      </w:tr>
    </w:tbl>
    <w:p w14:paraId="3DD0A280" w14:textId="77777777" w:rsidR="00A4199D" w:rsidRDefault="000B61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Qualitative Efforts - Number of Activities by Program</w:t>
      </w:r>
    </w:p>
    <w:p w14:paraId="07F6E065" w14:textId="77777777" w:rsidR="00A4199D" w:rsidRDefault="00A4199D">
      <w:pPr>
        <w:widowControl w:val="0"/>
        <w:rPr>
          <w:b/>
          <w:sz w:val="24"/>
          <w:szCs w:val="24"/>
        </w:rPr>
      </w:pPr>
    </w:p>
    <w:p w14:paraId="250B38A4" w14:textId="77777777" w:rsidR="00A4199D" w:rsidRDefault="000B6150">
      <w:pPr>
        <w:widowControl w:val="0"/>
        <w:rPr>
          <w:b/>
          <w:sz w:val="24"/>
          <w:szCs w:val="24"/>
        </w:rPr>
      </w:pPr>
      <w:r>
        <w:rPr>
          <w:b/>
          <w:sz w:val="24"/>
          <w:szCs w:val="24"/>
        </w:rPr>
        <w:t>Narrative</w:t>
      </w:r>
    </w:p>
    <w:p w14:paraId="3A88BD07" w14:textId="77777777" w:rsidR="00A4199D" w:rsidRDefault="000B6150">
      <w:pPr>
        <w:widowControl w:val="0"/>
        <w:spacing w:beforeAutospacing="1" w:afterAutospacing="1"/>
        <w:rPr>
          <w:rFonts w:cs="Arial"/>
        </w:rPr>
      </w:pPr>
      <w:r>
        <w:rPr>
          <w:rFonts w:cs="Arial"/>
        </w:rPr>
        <w:t xml:space="preserve">There were no new Section 3 covered activities during this period.  Activities for the HTS Channel Cove and Martha's Place Project were </w:t>
      </w:r>
      <w:proofErr w:type="gramStart"/>
      <w:r>
        <w:rPr>
          <w:rFonts w:cs="Arial"/>
        </w:rPr>
        <w:t>report</w:t>
      </w:r>
      <w:proofErr w:type="gramEnd"/>
      <w:r>
        <w:rPr>
          <w:rFonts w:cs="Arial"/>
        </w:rPr>
        <w:t xml:space="preserve"> in last year's CAPER. </w:t>
      </w:r>
    </w:p>
    <w:p w14:paraId="2AC87A07" w14:textId="77777777" w:rsidR="00A4199D" w:rsidRDefault="00A4199D"/>
    <w:sectPr w:rsidR="00A4199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7C89" w14:textId="77777777" w:rsidR="00A4199D" w:rsidRDefault="000B6150">
      <w:r>
        <w:separator/>
      </w:r>
    </w:p>
  </w:endnote>
  <w:endnote w:type="continuationSeparator" w:id="0">
    <w:p w14:paraId="2D6C2CD3" w14:textId="77777777" w:rsidR="00A4199D" w:rsidRDefault="000B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1E0" w:firstRow="1" w:lastRow="1" w:firstColumn="1" w:lastColumn="1" w:noHBand="0" w:noVBand="0"/>
    </w:tblPr>
    <w:tblGrid>
      <w:gridCol w:w="828"/>
      <w:gridCol w:w="7976"/>
      <w:gridCol w:w="772"/>
    </w:tblGrid>
    <w:tr w:rsidR="00A4199D" w14:paraId="74BA2F8A" w14:textId="77777777">
      <w:trPr>
        <w:jc w:val="center"/>
      </w:trPr>
      <w:tc>
        <w:tcPr>
          <w:tcW w:w="828" w:type="dxa"/>
        </w:tcPr>
        <w:p w14:paraId="6C70EF3D" w14:textId="77777777" w:rsidR="00A4199D" w:rsidRDefault="00A4199D">
          <w:pPr>
            <w:pStyle w:val="Footer"/>
            <w:spacing w:after="0" w:line="240" w:lineRule="auto"/>
            <w:jc w:val="center"/>
          </w:pPr>
        </w:p>
      </w:tc>
      <w:tc>
        <w:tcPr>
          <w:tcW w:w="7976" w:type="dxa"/>
        </w:tcPr>
        <w:p w14:paraId="4396EDEC" w14:textId="77777777" w:rsidR="00A4199D" w:rsidRDefault="000B6150">
          <w:pPr>
            <w:pStyle w:val="Footer"/>
            <w:spacing w:after="0" w:line="240" w:lineRule="auto"/>
            <w:jc w:val="center"/>
          </w:pPr>
          <w:r>
            <w:t>CAPER</w:t>
          </w:r>
        </w:p>
      </w:tc>
      <w:tc>
        <w:tcPr>
          <w:tcW w:w="772" w:type="dxa"/>
        </w:tcPr>
        <w:p w14:paraId="10324CD5" w14:textId="77777777" w:rsidR="00A4199D" w:rsidRDefault="000B6150">
          <w:pPr>
            <w:pStyle w:val="Footer"/>
            <w:spacing w:after="0" w:line="240" w:lineRule="auto"/>
            <w:jc w:val="right"/>
          </w:pPr>
          <w:r>
            <w:fldChar w:fldCharType="begin"/>
          </w:r>
          <w:r>
            <w:instrText>page</w:instrText>
          </w:r>
          <w:r>
            <w:fldChar w:fldCharType="separate"/>
          </w:r>
          <w:r>
            <w:t>1</w:t>
          </w:r>
          <w:r>
            <w:fldChar w:fldCharType="end"/>
          </w:r>
        </w:p>
      </w:tc>
    </w:tr>
  </w:tbl>
  <w:p w14:paraId="25BEA8C3" w14:textId="77777777" w:rsidR="00A4199D" w:rsidRDefault="000B6150">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297FC" w14:textId="77777777" w:rsidR="00A4199D" w:rsidRDefault="000B6150">
      <w:r>
        <w:separator/>
      </w:r>
    </w:p>
  </w:footnote>
  <w:footnote w:type="continuationSeparator" w:id="0">
    <w:p w14:paraId="2BF2078B" w14:textId="77777777" w:rsidR="00A4199D" w:rsidRDefault="000B6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391877551">
    <w:abstractNumId w:val="11"/>
  </w:num>
  <w:num w:numId="2" w16cid:durableId="576794309">
    <w:abstractNumId w:val="9"/>
  </w:num>
  <w:num w:numId="3" w16cid:durableId="1797526326">
    <w:abstractNumId w:val="7"/>
  </w:num>
  <w:num w:numId="4" w16cid:durableId="124275471">
    <w:abstractNumId w:val="6"/>
  </w:num>
  <w:num w:numId="5" w16cid:durableId="68583034">
    <w:abstractNumId w:val="5"/>
  </w:num>
  <w:num w:numId="6" w16cid:durableId="1452281882">
    <w:abstractNumId w:val="4"/>
  </w:num>
  <w:num w:numId="7" w16cid:durableId="1695302925">
    <w:abstractNumId w:val="8"/>
  </w:num>
  <w:num w:numId="8" w16cid:durableId="112404123">
    <w:abstractNumId w:val="3"/>
  </w:num>
  <w:num w:numId="9" w16cid:durableId="1228299264">
    <w:abstractNumId w:val="2"/>
  </w:num>
  <w:num w:numId="10" w16cid:durableId="1604461597">
    <w:abstractNumId w:val="1"/>
  </w:num>
  <w:num w:numId="11" w16cid:durableId="1284537596">
    <w:abstractNumId w:val="0"/>
  </w:num>
  <w:num w:numId="12" w16cid:durableId="1254516063">
    <w:abstractNumId w:val="10"/>
  </w:num>
  <w:num w:numId="13" w16cid:durableId="814835743">
    <w:abstractNumId w:val="15"/>
  </w:num>
  <w:num w:numId="14" w16cid:durableId="339623906">
    <w:abstractNumId w:val="13"/>
  </w:num>
  <w:num w:numId="15" w16cid:durableId="792527675">
    <w:abstractNumId w:val="12"/>
  </w:num>
  <w:num w:numId="16" w16cid:durableId="218826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952"/>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50"/>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97C72"/>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7C0"/>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4E1"/>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2896"/>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34A0"/>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1FA4"/>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278"/>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579"/>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5637"/>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8C6"/>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0C46"/>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199D"/>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AB5"/>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605"/>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518D"/>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314"/>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43C"/>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21F29"/>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DEDBB00-DB20-4574-8852-955E43709EC0}">
  <ds:schemaRefs>
    <ds:schemaRef ds:uri="http://schemas.openxmlformats.org/officeDocument/2006/bibliography"/>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5944</Words>
  <Characters>33883</Characters>
  <Application>Microsoft Office Word</Application>
  <DocSecurity>0</DocSecurity>
  <Lines>282</Lines>
  <Paragraphs>79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Here is some text</vt:lpstr>
      <vt:lpstr>    CR-05 - Goals and Outcomes</vt:lpstr>
      <vt:lpstr>    CR-10 - Racial and Ethnic composition of families assisted</vt:lpstr>
      <vt:lpstr>    CR-15 - Resources and Investments 91.520(a)</vt:lpstr>
      <vt:lpstr>    CR-20 - Affordable Housing 91.520(b)</vt:lpstr>
      <vt:lpstr>    </vt:lpstr>
      <vt:lpstr>    CR-25 - Homeless and Other Special Needs 91.220(d, e); 91.320(d, e); 91.520(c)</vt:lpstr>
      <vt:lpstr>    CR-30 - Public Housing 91.220(h); 91.320(j)</vt:lpstr>
      <vt:lpstr>    CR-35 - Other Actions 91.220(j)-(k); 91.320(i)-(j)</vt:lpstr>
      <vt:lpstr>    CR-40 - Monitoring 91.220 and 91.230</vt:lpstr>
      <vt:lpstr>    CR-45 - CDBG 91.520(c)</vt:lpstr>
      <vt:lpstr>    CR-50 - HOME 24 CFR 91.520(d)</vt:lpstr>
      <vt:lpstr>    CR-55 - HOPWA 91.520(e)</vt:lpstr>
      <vt:lpstr>    CR-56 - HTF 91.520(h)</vt:lpstr>
      <vt:lpstr>    CR-58 – Section 3</vt:lpstr>
      <vt:lpstr>    CR-60 - ESG 91.520(g) (ESG Recipients only)</vt:lpstr>
      <vt:lpstr>    CR-65 - Persons Assisted</vt:lpstr>
      <vt:lpstr>    CR-70 – ESG 91.520(g) - Assistance Provided and Outcomes</vt:lpstr>
      <vt:lpstr>    CR-75 – Expenditures</vt:lpstr>
    </vt:vector>
  </TitlesOfParts>
  <Company>Microsoft</Company>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Madeleine Anthony</cp:lastModifiedBy>
  <cp:revision>2</cp:revision>
  <dcterms:created xsi:type="dcterms:W3CDTF">2025-03-14T22:41:00Z</dcterms:created>
  <dcterms:modified xsi:type="dcterms:W3CDTF">2025-03-14T22:41:00Z</dcterms:modified>
</cp:coreProperties>
</file>